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E876CB" w14:textId="786D6DD3" w:rsidR="008E000B" w:rsidRDefault="009D71E8" w:rsidP="00645052">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05F5D">
        <w:t>New Invention Learning Academy September 2024</w:t>
      </w:r>
    </w:p>
    <w:p w14:paraId="2A7D54B2" w14:textId="3EE41438"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3B7B248E" w:rsidR="002940F3" w:rsidRDefault="000D0B4A">
            <w:pPr>
              <w:pStyle w:val="TableRow"/>
            </w:pPr>
            <w:r>
              <w:t>365</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5C653EA" w:rsidR="002940F3" w:rsidRDefault="009634EC">
            <w:pPr>
              <w:pStyle w:val="TableRow"/>
            </w:pPr>
            <w:r>
              <w:t>24%</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4A38D16" w:rsidR="002940F3" w:rsidRDefault="00B13638">
            <w:pPr>
              <w:pStyle w:val="TableRow"/>
            </w:pPr>
            <w:r>
              <w:t>24-25, 25-26, 26-27</w:t>
            </w:r>
            <w:r w:rsidR="00246E56">
              <w:t>,</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DFD4889" w:rsidR="002940F3" w:rsidRDefault="0093388D">
            <w:pPr>
              <w:pStyle w:val="TableRow"/>
            </w:pPr>
            <w:r>
              <w:t>01/09/24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256973B" w:rsidR="002940F3" w:rsidRDefault="00761915">
            <w:pPr>
              <w:pStyle w:val="TableRow"/>
            </w:pPr>
            <w:r>
              <w:t>01/09/25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09156161" w:rsidR="002940F3" w:rsidRDefault="00246E56">
            <w:pPr>
              <w:pStyle w:val="TableRow"/>
            </w:pPr>
            <w:r>
              <w:t>A Pearson</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BF6F2C9" w:rsidR="002940F3" w:rsidRDefault="00246E56">
            <w:pPr>
              <w:pStyle w:val="TableRow"/>
            </w:pPr>
            <w:r>
              <w:t>R Bould</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2DCDE49A" w:rsidR="002940F3" w:rsidRDefault="002940F3" w:rsidP="00E56175">
            <w:pPr>
              <w:pStyle w:val="TableRow"/>
            </w:pPr>
            <w:r>
              <w:t xml:space="preserve">Governor </w:t>
            </w:r>
            <w:r w:rsidR="00E56175">
              <w:rPr>
                <w:szCs w:val="22"/>
              </w:rPr>
              <w:t xml:space="preserv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59F22BB" w:rsidR="002940F3" w:rsidRDefault="00246E56">
            <w:pPr>
              <w:pStyle w:val="TableRow"/>
            </w:pPr>
            <w:r>
              <w:t>D Zaki</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F90281B" w:rsidR="00E66558" w:rsidRDefault="009D71E8">
            <w:pPr>
              <w:pStyle w:val="TableRow"/>
            </w:pPr>
            <w:r>
              <w:t>£</w:t>
            </w:r>
            <w:r w:rsidR="00761915">
              <w:t>129,770</w:t>
            </w:r>
          </w:p>
        </w:tc>
      </w:tr>
      <w:tr w:rsidR="00E66558" w14:paraId="2A7D54DC"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1511EC5" w:rsidR="00E66558" w:rsidRDefault="009D71E8">
            <w:pPr>
              <w:pStyle w:val="TableRow"/>
            </w:pPr>
            <w:r>
              <w:t>£</w:t>
            </w:r>
            <w:r w:rsidR="00761915">
              <w:t>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DD4C9" w:rsidR="001E206F" w:rsidRPr="00586FBC" w:rsidRDefault="009D71E8" w:rsidP="008225A5">
            <w:pPr>
              <w:pStyle w:val="TableRow"/>
              <w:spacing w:after="120"/>
              <w:rPr>
                <w:i/>
                <w:iCs/>
              </w:rPr>
            </w:pPr>
            <w:r>
              <w:t xml:space="preserve">Pupil premium </w:t>
            </w:r>
            <w:r w:rsidR="006E0786">
              <w:t>(and recovery premium</w:t>
            </w:r>
            <w:r w:rsidR="001E206F">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381619C" w:rsidR="00E66558" w:rsidRDefault="009D71E8">
            <w:pPr>
              <w:pStyle w:val="TableRow"/>
            </w:pPr>
            <w:r>
              <w:t>£</w:t>
            </w:r>
            <w:r w:rsidR="00645052">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1" w14:textId="13975E23" w:rsidR="00E66558" w:rsidRPr="008225A5" w:rsidRDefault="009D71E8" w:rsidP="008225A5">
            <w:pPr>
              <w:pStyle w:val="TableRow"/>
              <w:spacing w:after="12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26BCD636" w:rsidR="00E66558" w:rsidRDefault="009D71E8">
            <w:pPr>
              <w:pStyle w:val="TableRow"/>
            </w:pPr>
            <w:r>
              <w:t>£</w:t>
            </w:r>
            <w:r w:rsidR="00761915">
              <w:t>129,770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95EF1" w14:textId="288F5FAF" w:rsidR="00172507" w:rsidRDefault="00172507" w:rsidP="00172507">
            <w:r>
              <w:t xml:space="preserve">Most recent (2019) Indices of Deprivation data shows that New Invention </w:t>
            </w:r>
            <w:r w:rsidR="003C67E0">
              <w:t xml:space="preserve">Learning Academy </w:t>
            </w:r>
            <w:r>
              <w:t>is in an area ranked 11,</w:t>
            </w:r>
            <w:r w:rsidR="00DC75BB">
              <w:t>7</w:t>
            </w:r>
            <w:r>
              <w:t>85</w:t>
            </w:r>
            <w:r w:rsidR="00DC75BB">
              <w:t xml:space="preserve"> out of 32,844 LSAO’s i</w:t>
            </w:r>
            <w:r>
              <w:t>n England. This is amongst the 4</w:t>
            </w:r>
            <w:r w:rsidR="00DC75BB">
              <w:t>0% most deprived neighbourhoods in the co</w:t>
            </w:r>
            <w:r>
              <w:t>untry. The local authority of Walsall is the 31st most deprived out of 317 local authorities.</w:t>
            </w:r>
          </w:p>
          <w:p w14:paraId="7C958A34" w14:textId="75B21939" w:rsidR="00767D97" w:rsidRDefault="003C67E0" w:rsidP="00172507">
            <w:r>
              <w:t>NILA</w:t>
            </w:r>
            <w:r w:rsidR="00172507">
              <w:t xml:space="preserve"> values are guided by the highest expectations for all regardless of soci</w:t>
            </w:r>
            <w:r w:rsidR="00975930">
              <w:t>al background or vulnerability. The school values are aligned with the following quote:</w:t>
            </w:r>
            <w:r w:rsidR="00DC75BB">
              <w:t xml:space="preserve"> ‘Giving every young person the best start in life, whatever their background and wherever they come from, is a mission that unites teachers. By acknowledging the relationship between family income and educational success, the pupil premium cuts right to the heart of the rea</w:t>
            </w:r>
            <w:r w:rsidR="00975930">
              <w:t>son most of us became educators</w:t>
            </w:r>
            <w:r w:rsidR="00DC75BB">
              <w:t>’</w:t>
            </w:r>
            <w:r w:rsidR="00975930">
              <w:t>.</w:t>
            </w:r>
            <w:r w:rsidR="00DC75BB">
              <w:t xml:space="preserve"> (Sir Kevan Collins, CEO of the EEF).</w:t>
            </w:r>
            <w:r w:rsidR="00347C9B">
              <w:t xml:space="preserve"> Whilst we ensure the</w:t>
            </w:r>
            <w:r w:rsidR="00975930">
              <w:t xml:space="preserve"> rapid identification of barriers to success, we are committed to doing everything we can to overcome them rather than using these barriers or challenges as an excuse to lower expectations for disadvantaged pupils. </w:t>
            </w:r>
          </w:p>
          <w:p w14:paraId="2A7D54E9" w14:textId="1A3E4BD9" w:rsidR="00836B02" w:rsidRPr="00172507" w:rsidRDefault="00767D97" w:rsidP="004C433A">
            <w:r>
              <w:t>‘Be here often and when you are here do a good job</w:t>
            </w:r>
            <w:r w:rsidR="00836B02">
              <w:t>!</w:t>
            </w:r>
            <w:r>
              <w:t>’ Is a school mantra</w:t>
            </w:r>
            <w:r w:rsidR="007F1DBB">
              <w:t xml:space="preserve"> whi</w:t>
            </w:r>
            <w:r w:rsidR="007C455C">
              <w:t xml:space="preserve">ch guides both pupils and staff. </w:t>
            </w:r>
            <w:r w:rsidR="007F1DBB">
              <w:t>It does not matter</w:t>
            </w:r>
            <w:r w:rsidR="00FB4700">
              <w:t xml:space="preserve"> how effective wave one teaching </w:t>
            </w:r>
            <w:r w:rsidR="007F1DBB">
              <w:t>or extra support, tuition or intervention is</w:t>
            </w:r>
            <w:r w:rsidR="00FB4700">
              <w:t>,</w:t>
            </w:r>
            <w:r w:rsidR="007F1DBB">
              <w:t xml:space="preserve"> if pupils are not in school. Whilst the overall attendance of all pupils on school is well above the national average -  </w:t>
            </w:r>
            <w:r w:rsidR="00074830">
              <w:t>However w</w:t>
            </w:r>
            <w:r w:rsidR="003C67E0">
              <w:t>ithin NILA</w:t>
            </w:r>
            <w:r w:rsidR="00074830">
              <w:t xml:space="preserve"> disadvantaged pupil attendance is lower than non-disadvantaged attendance - </w:t>
            </w:r>
            <w:r w:rsidR="00DC75BB">
              <w:t xml:space="preserve"> </w:t>
            </w:r>
            <w:r w:rsidR="00074830">
              <w:t xml:space="preserve">Therefore our pupil premium strategy is focused on improving the attendance of disadvantaged pupils. In addition, </w:t>
            </w:r>
            <w:r w:rsidR="00DC75BB">
              <w:t>our pupil premium spend prioritises high q</w:t>
            </w:r>
            <w:r w:rsidR="00074830">
              <w:t xml:space="preserve">uality first teaching within </w:t>
            </w:r>
            <w:r w:rsidR="00DC75BB">
              <w:t xml:space="preserve">whole class and </w:t>
            </w:r>
            <w:r w:rsidR="00074830">
              <w:t>small groups</w:t>
            </w:r>
            <w:r w:rsidR="004C433A">
              <w:t>. EEF recent is clear that:</w:t>
            </w:r>
            <w:r w:rsidR="00DC75BB">
              <w:t xml:space="preserve"> ‘Good teaching is the most important lever schools have to improve outcomes for disadvantaged pupils’ and that high quality teaching should be ‘complemented with carefully selected interventions’</w:t>
            </w:r>
            <w:r w:rsidR="00836B02">
              <w:t>.</w:t>
            </w:r>
            <w:r w:rsidR="00B37FAA">
              <w:t xml:space="preserve"> </w:t>
            </w:r>
          </w:p>
        </w:tc>
      </w:tr>
    </w:tbl>
    <w:p w14:paraId="2A7D54EB" w14:textId="0DEA95C9"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ECB3007" w:rsidR="00E66558" w:rsidRDefault="00DC75BB" w:rsidP="00DB0719">
            <w:pPr>
              <w:pStyle w:val="TableRowCentered"/>
              <w:jc w:val="left"/>
            </w:pPr>
            <w:r>
              <w:t xml:space="preserve">The attendance of </w:t>
            </w:r>
            <w:r w:rsidR="00C2310D">
              <w:t>disadvantaged pupils within NILA</w:t>
            </w:r>
            <w:r>
              <w:t xml:space="preserve"> is consistently lower than non-disadvantaged pupils. </w:t>
            </w:r>
            <w:r w:rsidR="00610656">
              <w:t>(</w:t>
            </w:r>
            <w:r w:rsidR="000B6D4D">
              <w:t>2022- 2023- Disadvantaged Pupils = 93</w:t>
            </w:r>
            <w:r w:rsidR="00610656">
              <w:t xml:space="preserve">.9% </w:t>
            </w:r>
            <w:r w:rsidR="00C079F2">
              <w:t xml:space="preserve"> </w:t>
            </w:r>
            <w:r w:rsidR="000B6D4D">
              <w:t>Non-Disadvantaged Pupils = 96.8</w:t>
            </w:r>
            <w:r w:rsidR="00610656">
              <w:t>%)</w:t>
            </w:r>
            <w:r w:rsidR="002F783B">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D96F270" w:rsidR="00E66558" w:rsidRPr="00757F49" w:rsidRDefault="00BB4C52">
            <w:pPr>
              <w:pStyle w:val="TableRowCentered"/>
              <w:jc w:val="left"/>
              <w:rPr>
                <w:szCs w:val="24"/>
              </w:rPr>
            </w:pPr>
            <w:r w:rsidRPr="00757F49">
              <w:rPr>
                <w:szCs w:val="24"/>
              </w:rPr>
              <w:t xml:space="preserve">Gaps in prior learning made worse by the pandemic. Lower starting points on entry into Y3 for disadvantaged pupils with a lower proportion of pupils working at age related standard.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890A589" w:rsidR="00E66558" w:rsidRPr="00757F49" w:rsidRDefault="00BB4C52">
            <w:pPr>
              <w:pStyle w:val="TableRowCentered"/>
              <w:jc w:val="left"/>
              <w:rPr>
                <w:szCs w:val="24"/>
              </w:rPr>
            </w:pPr>
            <w:r w:rsidRPr="00757F49">
              <w:rPr>
                <w:szCs w:val="24"/>
              </w:rPr>
              <w:t xml:space="preserve">Lack of </w:t>
            </w:r>
            <w:r w:rsidR="00A57CA6">
              <w:rPr>
                <w:szCs w:val="24"/>
              </w:rPr>
              <w:t xml:space="preserve">positive </w:t>
            </w:r>
            <w:r w:rsidRPr="00757F49">
              <w:rPr>
                <w:szCs w:val="24"/>
              </w:rPr>
              <w:t>parental engagemen</w:t>
            </w:r>
            <w:r w:rsidR="00757F49">
              <w:rPr>
                <w:szCs w:val="24"/>
              </w:rPr>
              <w:t>t with school and capacity to support home learning.</w:t>
            </w:r>
          </w:p>
        </w:tc>
      </w:tr>
      <w:tr w:rsidR="00BB4C52" w14:paraId="5436B07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E0A9" w14:textId="2F103BD1" w:rsidR="00BB4C52" w:rsidRDefault="00BB4C52">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FADAE" w14:textId="06147A51" w:rsidR="00BB4C52" w:rsidRPr="00B32FB0" w:rsidRDefault="00B32FB0">
            <w:pPr>
              <w:pStyle w:val="TableRowCentered"/>
              <w:jc w:val="left"/>
              <w:rPr>
                <w:szCs w:val="24"/>
              </w:rPr>
            </w:pPr>
            <w:r w:rsidRPr="00B32FB0">
              <w:rPr>
                <w:szCs w:val="24"/>
              </w:rPr>
              <w:t xml:space="preserve">Social, emotional and mental health issues </w:t>
            </w:r>
            <w:r w:rsidR="00CE5FFC">
              <w:rPr>
                <w:szCs w:val="24"/>
              </w:rPr>
              <w:t xml:space="preserve">for a significant minority of disadvantaged pupils </w:t>
            </w:r>
            <w:r w:rsidRPr="00B32FB0">
              <w:rPr>
                <w:szCs w:val="24"/>
              </w:rPr>
              <w:t>of</w:t>
            </w:r>
            <w:r w:rsidR="00877C5A">
              <w:rPr>
                <w:szCs w:val="24"/>
              </w:rPr>
              <w:t xml:space="preserve">ten exacerbated by the pandemic and periods of national lockdowns.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21A7D63" w:rsidR="00E66558" w:rsidRPr="00197238" w:rsidRDefault="00113F0D" w:rsidP="00113F0D">
            <w:pPr>
              <w:pStyle w:val="TableRow"/>
              <w:rPr>
                <w:sz w:val="22"/>
                <w:szCs w:val="22"/>
              </w:rPr>
            </w:pPr>
            <w:r w:rsidRPr="00197238">
              <w:rPr>
                <w:sz w:val="22"/>
                <w:szCs w:val="22"/>
              </w:rPr>
              <w:t xml:space="preserve">Improve </w:t>
            </w:r>
            <w:r w:rsidR="00197238">
              <w:rPr>
                <w:sz w:val="22"/>
                <w:szCs w:val="22"/>
              </w:rPr>
              <w:t xml:space="preserve">average </w:t>
            </w:r>
            <w:r w:rsidRPr="00197238">
              <w:rPr>
                <w:sz w:val="22"/>
                <w:szCs w:val="22"/>
              </w:rPr>
              <w:t>attendance for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09916" w14:textId="77777777" w:rsidR="003D2BB2" w:rsidRDefault="00113F0D">
            <w:pPr>
              <w:pStyle w:val="TableRowCentered"/>
              <w:jc w:val="left"/>
              <w:rPr>
                <w:sz w:val="22"/>
                <w:szCs w:val="22"/>
              </w:rPr>
            </w:pPr>
            <w:r w:rsidRPr="00197238">
              <w:rPr>
                <w:sz w:val="22"/>
                <w:szCs w:val="22"/>
              </w:rPr>
              <w:t>Reduction in attendance gap between disadvantaged and n</w:t>
            </w:r>
            <w:r w:rsidR="003D2BB2">
              <w:rPr>
                <w:sz w:val="22"/>
                <w:szCs w:val="22"/>
              </w:rPr>
              <w:t>on-disadvantaged pupils.</w:t>
            </w:r>
          </w:p>
          <w:p w14:paraId="477618FA" w14:textId="21C0510A" w:rsidR="003D2BB2" w:rsidRDefault="003D2BB2">
            <w:pPr>
              <w:pStyle w:val="TableRowCentered"/>
              <w:jc w:val="left"/>
              <w:rPr>
                <w:sz w:val="22"/>
                <w:szCs w:val="22"/>
              </w:rPr>
            </w:pPr>
            <w:r w:rsidRPr="00E06B8C">
              <w:rPr>
                <w:b/>
                <w:sz w:val="22"/>
                <w:szCs w:val="22"/>
              </w:rPr>
              <w:t>2022 – 2023:</w:t>
            </w:r>
            <w:r>
              <w:rPr>
                <w:sz w:val="22"/>
                <w:szCs w:val="22"/>
              </w:rPr>
              <w:t xml:space="preserve"> Disadvantaged= 93</w:t>
            </w:r>
            <w:r w:rsidR="00113F0D" w:rsidRPr="00197238">
              <w:rPr>
                <w:sz w:val="22"/>
                <w:szCs w:val="22"/>
              </w:rPr>
              <w:t xml:space="preserve">.9%  </w:t>
            </w:r>
          </w:p>
          <w:p w14:paraId="0B77928A" w14:textId="6C6DCAE1" w:rsidR="003D2BB2" w:rsidRDefault="003D2BB2">
            <w:pPr>
              <w:pStyle w:val="TableRowCentered"/>
              <w:jc w:val="left"/>
              <w:rPr>
                <w:sz w:val="22"/>
                <w:szCs w:val="22"/>
              </w:rPr>
            </w:pPr>
            <w:r>
              <w:rPr>
                <w:sz w:val="22"/>
                <w:szCs w:val="22"/>
              </w:rPr>
              <w:t>Non-Disadvantaged = 96.8%. Gap of 2.9</w:t>
            </w:r>
            <w:r w:rsidR="00113F0D" w:rsidRPr="00197238">
              <w:rPr>
                <w:sz w:val="22"/>
                <w:szCs w:val="22"/>
              </w:rPr>
              <w:t>%</w:t>
            </w:r>
          </w:p>
          <w:p w14:paraId="10C91A20" w14:textId="6CFADB25" w:rsidR="003D2BB2" w:rsidRPr="00FF4AC4" w:rsidRDefault="003D2BB2" w:rsidP="003D2BB2">
            <w:pPr>
              <w:pStyle w:val="TableRowCentered"/>
              <w:jc w:val="left"/>
              <w:rPr>
                <w:color w:val="auto"/>
                <w:sz w:val="22"/>
                <w:szCs w:val="22"/>
              </w:rPr>
            </w:pPr>
            <w:r w:rsidRPr="00FF4AC4">
              <w:rPr>
                <w:b/>
                <w:color w:val="auto"/>
                <w:sz w:val="22"/>
                <w:szCs w:val="22"/>
              </w:rPr>
              <w:t>2023 – 2024</w:t>
            </w:r>
            <w:r w:rsidR="00220D93" w:rsidRPr="00FF4AC4">
              <w:rPr>
                <w:b/>
                <w:color w:val="auto"/>
                <w:sz w:val="22"/>
                <w:szCs w:val="22"/>
              </w:rPr>
              <w:t>:</w:t>
            </w:r>
            <w:r w:rsidRPr="00FF4AC4">
              <w:rPr>
                <w:color w:val="auto"/>
                <w:sz w:val="22"/>
                <w:szCs w:val="22"/>
              </w:rPr>
              <w:t xml:space="preserve"> … Disadvantaged</w:t>
            </w:r>
            <w:r w:rsidR="00E76F0F" w:rsidRPr="00FF4AC4">
              <w:rPr>
                <w:color w:val="auto"/>
                <w:sz w:val="22"/>
                <w:szCs w:val="22"/>
              </w:rPr>
              <w:t xml:space="preserve">= </w:t>
            </w:r>
            <w:r w:rsidR="00FF4AC4">
              <w:rPr>
                <w:color w:val="auto"/>
                <w:sz w:val="22"/>
                <w:szCs w:val="22"/>
              </w:rPr>
              <w:t>96.5</w:t>
            </w:r>
            <w:r w:rsidRPr="00FF4AC4">
              <w:rPr>
                <w:color w:val="auto"/>
                <w:sz w:val="22"/>
                <w:szCs w:val="22"/>
              </w:rPr>
              <w:t xml:space="preserve">%  </w:t>
            </w:r>
          </w:p>
          <w:p w14:paraId="2A7D5505" w14:textId="061C12F1" w:rsidR="00E66558" w:rsidRPr="00197238" w:rsidRDefault="003D2BB2" w:rsidP="003D2BB2">
            <w:pPr>
              <w:pStyle w:val="TableRowCentered"/>
              <w:jc w:val="left"/>
              <w:rPr>
                <w:sz w:val="22"/>
                <w:szCs w:val="22"/>
              </w:rPr>
            </w:pPr>
            <w:r w:rsidRPr="00FF4AC4">
              <w:rPr>
                <w:color w:val="auto"/>
                <w:sz w:val="22"/>
                <w:szCs w:val="22"/>
              </w:rPr>
              <w:t xml:space="preserve">Non-Disadvantaged </w:t>
            </w:r>
            <w:r w:rsidR="00E76F0F" w:rsidRPr="00FF4AC4">
              <w:rPr>
                <w:color w:val="auto"/>
                <w:sz w:val="22"/>
                <w:szCs w:val="22"/>
              </w:rPr>
              <w:t xml:space="preserve">= </w:t>
            </w:r>
            <w:r w:rsidR="00FF4AC4">
              <w:rPr>
                <w:color w:val="auto"/>
                <w:sz w:val="22"/>
                <w:szCs w:val="22"/>
              </w:rPr>
              <w:t>97.4</w:t>
            </w:r>
            <w:r w:rsidR="00E76F0F" w:rsidRPr="00FF4AC4">
              <w:rPr>
                <w:color w:val="auto"/>
                <w:sz w:val="22"/>
                <w:szCs w:val="22"/>
              </w:rPr>
              <w:t xml:space="preserve">%. Gap of </w:t>
            </w:r>
            <w:r w:rsidR="00FF4AC4">
              <w:rPr>
                <w:color w:val="auto"/>
                <w:sz w:val="22"/>
                <w:szCs w:val="22"/>
              </w:rPr>
              <w:t>0.9</w:t>
            </w:r>
            <w:r w:rsidRPr="00FF4AC4">
              <w:rPr>
                <w:color w:val="auto"/>
                <w:sz w:val="22"/>
                <w:szCs w:val="22"/>
              </w:rPr>
              <w: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1AD42A20" w:rsidR="00E66558" w:rsidRPr="00197238" w:rsidRDefault="00D77299">
            <w:pPr>
              <w:pStyle w:val="TableRow"/>
              <w:rPr>
                <w:sz w:val="22"/>
                <w:szCs w:val="22"/>
              </w:rPr>
            </w:pPr>
            <w:r w:rsidRPr="00197238">
              <w:rPr>
                <w:sz w:val="22"/>
                <w:szCs w:val="22"/>
              </w:rPr>
              <w:t>Disadvantaged pupils Maths attainment to exceed national average for all pupils by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7CCEF" w14:textId="7F24B43C" w:rsidR="00E66558" w:rsidRPr="00E06B8C" w:rsidRDefault="00220D93">
            <w:pPr>
              <w:pStyle w:val="TableRowCentered"/>
              <w:jc w:val="left"/>
              <w:rPr>
                <w:b/>
                <w:sz w:val="22"/>
                <w:szCs w:val="22"/>
              </w:rPr>
            </w:pPr>
            <w:r w:rsidRPr="00E06B8C">
              <w:rPr>
                <w:b/>
                <w:sz w:val="22"/>
                <w:szCs w:val="22"/>
              </w:rPr>
              <w:t>2022 – 2023</w:t>
            </w:r>
            <w:r w:rsidR="00DB7ED2" w:rsidRPr="00E06B8C">
              <w:rPr>
                <w:b/>
                <w:sz w:val="22"/>
                <w:szCs w:val="22"/>
              </w:rPr>
              <w:t>:</w:t>
            </w:r>
          </w:p>
          <w:p w14:paraId="537E0AF2" w14:textId="4667260E" w:rsidR="00DB7ED2" w:rsidRDefault="00C2310D">
            <w:pPr>
              <w:pStyle w:val="TableRowCentered"/>
              <w:jc w:val="left"/>
              <w:rPr>
                <w:sz w:val="22"/>
                <w:szCs w:val="22"/>
              </w:rPr>
            </w:pPr>
            <w:r>
              <w:rPr>
                <w:sz w:val="22"/>
                <w:szCs w:val="22"/>
              </w:rPr>
              <w:t xml:space="preserve">67% </w:t>
            </w:r>
            <w:r w:rsidR="00E06B8C">
              <w:rPr>
                <w:sz w:val="22"/>
                <w:szCs w:val="22"/>
              </w:rPr>
              <w:t>NILA</w:t>
            </w:r>
            <w:r w:rsidR="00DB7ED2">
              <w:rPr>
                <w:sz w:val="22"/>
                <w:szCs w:val="22"/>
              </w:rPr>
              <w:t xml:space="preserve"> Disadvantaged pupils vs National average of </w:t>
            </w:r>
            <w:r>
              <w:rPr>
                <w:sz w:val="22"/>
                <w:szCs w:val="22"/>
              </w:rPr>
              <w:t>73</w:t>
            </w:r>
            <w:r w:rsidR="00DB7ED2">
              <w:rPr>
                <w:sz w:val="22"/>
                <w:szCs w:val="22"/>
              </w:rPr>
              <w:t>% for all pupils.</w:t>
            </w:r>
          </w:p>
          <w:p w14:paraId="3489D847" w14:textId="2841C395" w:rsidR="00220D93" w:rsidRPr="00E06B8C" w:rsidRDefault="00220D93">
            <w:pPr>
              <w:pStyle w:val="TableRowCentered"/>
              <w:jc w:val="left"/>
              <w:rPr>
                <w:b/>
                <w:sz w:val="22"/>
                <w:szCs w:val="22"/>
              </w:rPr>
            </w:pPr>
            <w:r w:rsidRPr="00E06B8C">
              <w:rPr>
                <w:b/>
                <w:sz w:val="22"/>
                <w:szCs w:val="22"/>
              </w:rPr>
              <w:t>2023 – 2024:</w:t>
            </w:r>
          </w:p>
          <w:p w14:paraId="2A7D5508" w14:textId="0E2392C7" w:rsidR="00220D93" w:rsidRPr="00197238" w:rsidRDefault="00C2310D" w:rsidP="00C2310D">
            <w:pPr>
              <w:pStyle w:val="TableRowCentered"/>
              <w:jc w:val="left"/>
              <w:rPr>
                <w:sz w:val="22"/>
                <w:szCs w:val="22"/>
              </w:rPr>
            </w:pPr>
            <w:r>
              <w:rPr>
                <w:sz w:val="22"/>
                <w:szCs w:val="22"/>
              </w:rPr>
              <w:t>63</w:t>
            </w:r>
            <w:r w:rsidR="00E06B8C">
              <w:rPr>
                <w:sz w:val="22"/>
                <w:szCs w:val="22"/>
              </w:rPr>
              <w:t>% NILA</w:t>
            </w:r>
            <w:r w:rsidR="00220D93">
              <w:rPr>
                <w:sz w:val="22"/>
                <w:szCs w:val="22"/>
              </w:rPr>
              <w:t xml:space="preserve"> Disadvantaged pupils vs National average of </w:t>
            </w:r>
            <w:r>
              <w:rPr>
                <w:sz w:val="22"/>
                <w:szCs w:val="22"/>
              </w:rPr>
              <w:t>73</w:t>
            </w:r>
            <w:r w:rsidR="00220D93">
              <w:rPr>
                <w:sz w:val="22"/>
                <w:szCs w:val="22"/>
              </w:rPr>
              <w:t>% for all pupils.</w:t>
            </w:r>
            <w:r>
              <w:rPr>
                <w:sz w:val="22"/>
                <w:szCs w:val="22"/>
              </w:rPr>
              <w:t>.</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560EE6A3" w:rsidR="00E66558" w:rsidRPr="00197238" w:rsidRDefault="00D77299" w:rsidP="00D77299">
            <w:pPr>
              <w:pStyle w:val="TableRow"/>
              <w:rPr>
                <w:sz w:val="22"/>
                <w:szCs w:val="22"/>
              </w:rPr>
            </w:pPr>
            <w:r w:rsidRPr="00197238">
              <w:rPr>
                <w:sz w:val="22"/>
                <w:szCs w:val="22"/>
              </w:rPr>
              <w:t>Disadvantaged pupils Reading attainment to exceed national average for all pupils by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3163" w14:textId="04658569" w:rsidR="00DB7ED2" w:rsidRPr="00E06B8C" w:rsidRDefault="00C2310D" w:rsidP="00DB7ED2">
            <w:pPr>
              <w:pStyle w:val="TableRowCentered"/>
              <w:jc w:val="left"/>
              <w:rPr>
                <w:b/>
                <w:sz w:val="22"/>
                <w:szCs w:val="22"/>
              </w:rPr>
            </w:pPr>
            <w:r w:rsidRPr="00E06B8C">
              <w:rPr>
                <w:b/>
                <w:sz w:val="22"/>
                <w:szCs w:val="22"/>
              </w:rPr>
              <w:t>2022 – 2023</w:t>
            </w:r>
            <w:r w:rsidR="00DB7ED2" w:rsidRPr="00E06B8C">
              <w:rPr>
                <w:b/>
                <w:sz w:val="22"/>
                <w:szCs w:val="22"/>
              </w:rPr>
              <w:t>:</w:t>
            </w:r>
          </w:p>
          <w:p w14:paraId="63B883EE" w14:textId="15B7E5A6" w:rsidR="00E66558" w:rsidRDefault="00C2310D" w:rsidP="00DB7ED2">
            <w:pPr>
              <w:pStyle w:val="TableRowCentered"/>
              <w:jc w:val="left"/>
              <w:rPr>
                <w:sz w:val="22"/>
                <w:szCs w:val="22"/>
              </w:rPr>
            </w:pPr>
            <w:r>
              <w:rPr>
                <w:sz w:val="22"/>
                <w:szCs w:val="22"/>
              </w:rPr>
              <w:t>76</w:t>
            </w:r>
            <w:r w:rsidR="00E06B8C">
              <w:rPr>
                <w:sz w:val="22"/>
                <w:szCs w:val="22"/>
              </w:rPr>
              <w:t>% NILA</w:t>
            </w:r>
            <w:r w:rsidR="00DB7ED2">
              <w:rPr>
                <w:sz w:val="22"/>
                <w:szCs w:val="22"/>
              </w:rPr>
              <w:t xml:space="preserve"> Disadvantaged pupils vs National average of </w:t>
            </w:r>
            <w:r>
              <w:rPr>
                <w:sz w:val="22"/>
                <w:szCs w:val="22"/>
              </w:rPr>
              <w:t>73</w:t>
            </w:r>
            <w:r w:rsidR="00DB7ED2">
              <w:rPr>
                <w:sz w:val="22"/>
                <w:szCs w:val="22"/>
              </w:rPr>
              <w:t>% for all pupils.</w:t>
            </w:r>
          </w:p>
          <w:p w14:paraId="1DEFB1E3" w14:textId="77777777" w:rsidR="00C2310D" w:rsidRPr="00E06B8C" w:rsidRDefault="00C2310D" w:rsidP="00C2310D">
            <w:pPr>
              <w:pStyle w:val="TableRowCentered"/>
              <w:jc w:val="left"/>
              <w:rPr>
                <w:b/>
                <w:sz w:val="22"/>
                <w:szCs w:val="22"/>
              </w:rPr>
            </w:pPr>
            <w:r w:rsidRPr="00E06B8C">
              <w:rPr>
                <w:b/>
                <w:sz w:val="22"/>
                <w:szCs w:val="22"/>
              </w:rPr>
              <w:t>2023 – 2024:</w:t>
            </w:r>
          </w:p>
          <w:p w14:paraId="2A7D550B" w14:textId="6B0A87A3" w:rsidR="00C2310D" w:rsidRPr="00197238" w:rsidRDefault="00C2310D" w:rsidP="00C2310D">
            <w:pPr>
              <w:pStyle w:val="TableRowCentered"/>
              <w:jc w:val="left"/>
              <w:rPr>
                <w:sz w:val="22"/>
                <w:szCs w:val="22"/>
              </w:rPr>
            </w:pPr>
            <w:r>
              <w:rPr>
                <w:sz w:val="22"/>
                <w:szCs w:val="22"/>
              </w:rPr>
              <w:t>83</w:t>
            </w:r>
            <w:r w:rsidR="00E06B8C">
              <w:rPr>
                <w:sz w:val="22"/>
                <w:szCs w:val="22"/>
              </w:rPr>
              <w:t>% NILA</w:t>
            </w:r>
            <w:r>
              <w:rPr>
                <w:sz w:val="22"/>
                <w:szCs w:val="22"/>
              </w:rPr>
              <w:t xml:space="preserve"> Disadvantaged pupils vs National average of 74% for all pupils.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BDE4C48" w:rsidR="00E66558" w:rsidRPr="00197238" w:rsidRDefault="00D77299" w:rsidP="00D77299">
            <w:pPr>
              <w:pStyle w:val="TableRow"/>
              <w:rPr>
                <w:sz w:val="22"/>
                <w:szCs w:val="22"/>
              </w:rPr>
            </w:pPr>
            <w:r w:rsidRPr="00197238">
              <w:rPr>
                <w:sz w:val="22"/>
                <w:szCs w:val="22"/>
              </w:rPr>
              <w:t>Disadvantaged pupils Writing attainment to exceed national average for all pupils by end of KS2</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4E8A7" w14:textId="5CEB79A2" w:rsidR="00DB7ED2" w:rsidRPr="00E06B8C" w:rsidRDefault="00C2310D" w:rsidP="00DB7ED2">
            <w:pPr>
              <w:pStyle w:val="TableRowCentered"/>
              <w:jc w:val="left"/>
              <w:rPr>
                <w:b/>
                <w:sz w:val="22"/>
                <w:szCs w:val="22"/>
              </w:rPr>
            </w:pPr>
            <w:r w:rsidRPr="00E06B8C">
              <w:rPr>
                <w:b/>
                <w:sz w:val="22"/>
                <w:szCs w:val="22"/>
              </w:rPr>
              <w:t>2022 – 2023</w:t>
            </w:r>
            <w:r w:rsidR="00DB7ED2" w:rsidRPr="00E06B8C">
              <w:rPr>
                <w:b/>
                <w:sz w:val="22"/>
                <w:szCs w:val="22"/>
              </w:rPr>
              <w:t>:</w:t>
            </w:r>
          </w:p>
          <w:p w14:paraId="7C0FC559" w14:textId="7D1F1841" w:rsidR="00E66558" w:rsidRDefault="00E06B8C" w:rsidP="00DB7ED2">
            <w:pPr>
              <w:pStyle w:val="TableRowCentered"/>
              <w:jc w:val="left"/>
              <w:rPr>
                <w:sz w:val="22"/>
                <w:szCs w:val="22"/>
              </w:rPr>
            </w:pPr>
            <w:r>
              <w:rPr>
                <w:sz w:val="22"/>
                <w:szCs w:val="22"/>
              </w:rPr>
              <w:t>76% NILA</w:t>
            </w:r>
            <w:r w:rsidR="00DB7ED2">
              <w:rPr>
                <w:sz w:val="22"/>
                <w:szCs w:val="22"/>
              </w:rPr>
              <w:t xml:space="preserve"> Disadvantaged pupils vs National average of </w:t>
            </w:r>
            <w:r>
              <w:rPr>
                <w:sz w:val="22"/>
                <w:szCs w:val="22"/>
              </w:rPr>
              <w:t>71</w:t>
            </w:r>
            <w:r w:rsidR="00DB7ED2">
              <w:rPr>
                <w:sz w:val="22"/>
                <w:szCs w:val="22"/>
              </w:rPr>
              <w:t>% for all pupils.</w:t>
            </w:r>
          </w:p>
          <w:p w14:paraId="79E361A9" w14:textId="77777777" w:rsidR="00C2310D" w:rsidRPr="00E06B8C" w:rsidRDefault="00C2310D" w:rsidP="00C2310D">
            <w:pPr>
              <w:pStyle w:val="TableRowCentered"/>
              <w:jc w:val="left"/>
              <w:rPr>
                <w:b/>
                <w:sz w:val="22"/>
                <w:szCs w:val="22"/>
              </w:rPr>
            </w:pPr>
            <w:r w:rsidRPr="00E06B8C">
              <w:rPr>
                <w:b/>
                <w:sz w:val="22"/>
                <w:szCs w:val="22"/>
              </w:rPr>
              <w:t>2023 – 2024:</w:t>
            </w:r>
          </w:p>
          <w:p w14:paraId="2A7D550E" w14:textId="769CCEB9" w:rsidR="00C2310D" w:rsidRPr="00197238" w:rsidRDefault="00E06B8C" w:rsidP="00C2310D">
            <w:pPr>
              <w:pStyle w:val="TableRowCentered"/>
              <w:jc w:val="left"/>
              <w:rPr>
                <w:sz w:val="22"/>
                <w:szCs w:val="22"/>
              </w:rPr>
            </w:pPr>
            <w:r>
              <w:rPr>
                <w:sz w:val="22"/>
                <w:szCs w:val="22"/>
              </w:rPr>
              <w:t>71% NILA</w:t>
            </w:r>
            <w:r w:rsidR="00C2310D">
              <w:rPr>
                <w:sz w:val="22"/>
                <w:szCs w:val="22"/>
              </w:rPr>
              <w:t xml:space="preserve"> Disadvantaged pupils vs National average of </w:t>
            </w:r>
            <w:r>
              <w:rPr>
                <w:sz w:val="22"/>
                <w:szCs w:val="22"/>
              </w:rPr>
              <w:t>72</w:t>
            </w:r>
            <w:r w:rsidR="00C2310D">
              <w:rPr>
                <w:sz w:val="22"/>
                <w:szCs w:val="22"/>
              </w:rPr>
              <w:t>% for all pupils.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lastRenderedPageBreak/>
        <w:t>Activity in this academic year</w:t>
      </w:r>
    </w:p>
    <w:p w14:paraId="2A7D5513" w14:textId="603E7BD1"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4" w14:textId="0BF4FAD5" w:rsidR="00E66558" w:rsidRDefault="00407D07">
      <w:pPr>
        <w:pStyle w:val="Heading3"/>
      </w:pPr>
      <w:r>
        <w:t>Teaching</w:t>
      </w:r>
    </w:p>
    <w:p w14:paraId="2A7D5515" w14:textId="2452EFAD" w:rsidR="00E66558" w:rsidRDefault="00407D07">
      <w:r>
        <w:t xml:space="preserve">Budgeted cost: </w:t>
      </w:r>
      <w:r w:rsidR="007A7B97">
        <w:t>£</w:t>
      </w:r>
      <w:r w:rsidR="00395AE5">
        <w:t>71,248</w:t>
      </w:r>
    </w:p>
    <w:tbl>
      <w:tblPr>
        <w:tblW w:w="5000" w:type="pct"/>
        <w:tblCellMar>
          <w:left w:w="10" w:type="dxa"/>
          <w:right w:w="10" w:type="dxa"/>
        </w:tblCellMar>
        <w:tblLook w:val="04A0" w:firstRow="1" w:lastRow="0" w:firstColumn="1" w:lastColumn="0" w:noHBand="0" w:noVBand="1"/>
      </w:tblPr>
      <w:tblGrid>
        <w:gridCol w:w="2707"/>
        <w:gridCol w:w="4241"/>
        <w:gridCol w:w="2538"/>
      </w:tblGrid>
      <w:tr w:rsidR="00E66558" w14:paraId="2A7D5519" w14:textId="77777777" w:rsidTr="00BC6790">
        <w:tc>
          <w:tcPr>
            <w:tcW w:w="2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BC6790">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37AA190" w:rsidR="00E66558" w:rsidRDefault="008D350E">
            <w:pPr>
              <w:pStyle w:val="TableRow"/>
            </w:pPr>
            <w:r>
              <w:rPr>
                <w:i/>
                <w:iCs/>
                <w:sz w:val="22"/>
                <w:szCs w:val="22"/>
              </w:rPr>
              <w:t xml:space="preserve">To employ an additional teacher to </w:t>
            </w:r>
            <w:r w:rsidR="0011395F">
              <w:rPr>
                <w:i/>
                <w:iCs/>
                <w:sz w:val="22"/>
                <w:szCs w:val="22"/>
              </w:rPr>
              <w:t xml:space="preserve">provide small group teaching and tailored interventions for specific groups of pupils. </w:t>
            </w: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1742" w14:textId="77777777" w:rsidR="00BC6790" w:rsidRDefault="00BC6790" w:rsidP="00BC6790">
            <w:pPr>
              <w:pStyle w:val="TableRowCentered"/>
              <w:jc w:val="left"/>
              <w:rPr>
                <w:sz w:val="22"/>
              </w:rPr>
            </w:pPr>
            <w:r>
              <w:rPr>
                <w:sz w:val="22"/>
              </w:rPr>
              <w:t xml:space="preserve">EEF : </w:t>
            </w:r>
          </w:p>
          <w:p w14:paraId="2A7D551B" w14:textId="5BD40393" w:rsidR="00E66558" w:rsidRDefault="00BC6790" w:rsidP="00BC6790">
            <w:pPr>
              <w:pStyle w:val="TableRowCentered"/>
              <w:jc w:val="left"/>
              <w:rPr>
                <w:sz w:val="22"/>
              </w:rPr>
            </w:pPr>
            <w:r w:rsidRPr="00BC6790">
              <w:rPr>
                <w:sz w:val="22"/>
              </w:rPr>
              <w:t>‘Good teaching is the most important lever schools have to improve outcomes for disadvantaged pupils’ and that high quality teaching should be ‘complemented with carefully selected interventions’.</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04FA28B" w:rsidR="00E66558" w:rsidRDefault="00FB18F9">
            <w:pPr>
              <w:pStyle w:val="TableRowCentered"/>
              <w:jc w:val="left"/>
              <w:rPr>
                <w:sz w:val="22"/>
              </w:rPr>
            </w:pPr>
            <w:r>
              <w:rPr>
                <w:sz w:val="22"/>
              </w:rPr>
              <w:t>2,</w:t>
            </w:r>
          </w:p>
        </w:tc>
      </w:tr>
      <w:tr w:rsidR="00BC6790" w14:paraId="2A7D5521" w14:textId="77777777" w:rsidTr="00BC6790">
        <w:tc>
          <w:tcPr>
            <w:tcW w:w="2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BF345CA" w:rsidR="00BC6790" w:rsidRDefault="00BC6790" w:rsidP="00BC6790">
            <w:pPr>
              <w:pStyle w:val="TableRow"/>
              <w:ind w:left="0"/>
              <w:rPr>
                <w:i/>
                <w:sz w:val="22"/>
              </w:rPr>
            </w:pPr>
            <w:r>
              <w:rPr>
                <w:i/>
                <w:sz w:val="22"/>
              </w:rPr>
              <w:t xml:space="preserve">To employ an additional teaching assistant to provide tailored interventions, phonics assessment/intervention, ELSA and to run an extended school day homework club for disadvantaged pupils. </w:t>
            </w:r>
          </w:p>
        </w:tc>
        <w:tc>
          <w:tcPr>
            <w:tcW w:w="4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0D852" w14:textId="77777777" w:rsidR="005A2D97" w:rsidRDefault="005A2D97" w:rsidP="00BC6790">
            <w:pPr>
              <w:pStyle w:val="TableRowCentered"/>
              <w:jc w:val="left"/>
              <w:rPr>
                <w:sz w:val="22"/>
              </w:rPr>
            </w:pPr>
            <w:r>
              <w:rPr>
                <w:sz w:val="22"/>
              </w:rPr>
              <w:t>EEF:</w:t>
            </w:r>
          </w:p>
          <w:p w14:paraId="24CFFA51" w14:textId="27363FF8" w:rsidR="00BC6790" w:rsidRDefault="00BC6790" w:rsidP="00BC6790">
            <w:pPr>
              <w:pStyle w:val="TableRowCentered"/>
              <w:jc w:val="left"/>
              <w:rPr>
                <w:sz w:val="22"/>
              </w:rPr>
            </w:pPr>
            <w:r w:rsidRPr="00BC6790">
              <w:rPr>
                <w:sz w:val="22"/>
              </w:rPr>
              <w:t>‘Good teaching is the most important lever schools have to improve outcomes for disadvantaged pupils’ and that high quality teaching should be ‘complemented with carefully selected interventions’.</w:t>
            </w:r>
            <w:r w:rsidR="004378D9">
              <w:rPr>
                <w:sz w:val="22"/>
              </w:rPr>
              <w:t xml:space="preserve"> </w:t>
            </w:r>
          </w:p>
          <w:p w14:paraId="2A7D551F" w14:textId="48E3DFA5" w:rsidR="004378D9" w:rsidRDefault="004378D9" w:rsidP="004378D9">
            <w:pPr>
              <w:pStyle w:val="TableRowCentered"/>
              <w:jc w:val="left"/>
              <w:rPr>
                <w:sz w:val="22"/>
              </w:rPr>
            </w:pPr>
            <w:r>
              <w:rPr>
                <w:sz w:val="22"/>
              </w:rPr>
              <w:t>‘</w:t>
            </w:r>
            <w:r w:rsidRPr="004378D9">
              <w:rPr>
                <w:sz w:val="22"/>
              </w:rPr>
              <w:t>Research which focuses on teaching assistants who provide one to one or small group targeted interventions shows a stronger positive benefit of between four and si</w:t>
            </w:r>
            <w:r>
              <w:rPr>
                <w:sz w:val="22"/>
              </w:rPr>
              <w:t>x additional months on average.’</w:t>
            </w:r>
          </w:p>
        </w:tc>
        <w:tc>
          <w:tcPr>
            <w:tcW w:w="2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3123281F" w:rsidR="00BC6790" w:rsidRDefault="00BC6790" w:rsidP="00BC6790">
            <w:pPr>
              <w:pStyle w:val="TableRowCentered"/>
              <w:jc w:val="left"/>
              <w:rPr>
                <w:sz w:val="22"/>
              </w:rPr>
            </w:pPr>
            <w:r>
              <w:rPr>
                <w:sz w:val="22"/>
              </w:rPr>
              <w:t>2,3,4,</w:t>
            </w:r>
          </w:p>
        </w:tc>
      </w:tr>
    </w:tbl>
    <w:p w14:paraId="2A7D5522" w14:textId="77777777" w:rsidR="00E66558" w:rsidRDefault="00E66558" w:rsidP="00ED5108"/>
    <w:p w14:paraId="2A7D5523" w14:textId="5BCD62B3" w:rsidR="00E66558" w:rsidRPr="00AA355B" w:rsidRDefault="00407D07" w:rsidP="00AA355B">
      <w:pPr>
        <w:pStyle w:val="Heading3"/>
      </w:pPr>
      <w:r>
        <w:t>Targeted academic support</w:t>
      </w:r>
    </w:p>
    <w:p w14:paraId="2A7D5524" w14:textId="25B777E1" w:rsidR="00E66558" w:rsidRDefault="005F4A6C">
      <w:r>
        <w:t>Budgeted cost: £</w:t>
      </w:r>
      <w:r w:rsidR="007A7B97">
        <w:t>2,667</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CEA3849" w:rsidR="00E66558" w:rsidRDefault="00DE5EE7">
            <w:pPr>
              <w:pStyle w:val="TableRow"/>
              <w:rPr>
                <w:i/>
                <w:sz w:val="22"/>
              </w:rPr>
            </w:pPr>
            <w:r>
              <w:rPr>
                <w:i/>
                <w:sz w:val="22"/>
              </w:rPr>
              <w:t xml:space="preserve">Brilliant Club academic tutoring and aspiration raising activities via the Scholars Programme. </w:t>
            </w:r>
            <w:r w:rsidR="00645052">
              <w:rPr>
                <w:i/>
                <w:sz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9CCD5" w14:textId="77777777" w:rsidR="00E66558" w:rsidRDefault="00DB4F2F">
            <w:pPr>
              <w:pStyle w:val="TableRowCentered"/>
              <w:jc w:val="left"/>
              <w:rPr>
                <w:sz w:val="22"/>
              </w:rPr>
            </w:pPr>
            <w:r>
              <w:rPr>
                <w:sz w:val="22"/>
              </w:rPr>
              <w:t>EEF:</w:t>
            </w:r>
          </w:p>
          <w:p w14:paraId="2A7D552E" w14:textId="6B750D88" w:rsidR="00DB4F2F" w:rsidRDefault="00DB4F2F">
            <w:pPr>
              <w:pStyle w:val="TableRowCentered"/>
              <w:jc w:val="left"/>
              <w:rPr>
                <w:sz w:val="22"/>
              </w:rPr>
            </w:pPr>
            <w:r>
              <w:rPr>
                <w:sz w:val="22"/>
              </w:rPr>
              <w:t>‘</w:t>
            </w:r>
            <w:r w:rsidRPr="00DB4F2F">
              <w:rPr>
                <w:sz w:val="22"/>
              </w:rPr>
              <w:t>Intensive individual support, either one to one or as a small group, can support pupil learning. This is most likely to be impactful if provided in addition to and explicitly linked with normal lessons.</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C841184" w:rsidR="00E66558" w:rsidRDefault="00000457">
            <w:pPr>
              <w:pStyle w:val="TableRowCentered"/>
              <w:jc w:val="left"/>
              <w:rPr>
                <w:sz w:val="22"/>
              </w:rPr>
            </w:pPr>
            <w:r>
              <w:rPr>
                <w:sz w:val="22"/>
              </w:rPr>
              <w:t>2,</w:t>
            </w:r>
            <w:r w:rsidR="00DE5EE7">
              <w:rPr>
                <w:sz w:val="22"/>
              </w:rPr>
              <w:t xml:space="preserve"> 3, </w:t>
            </w:r>
          </w:p>
        </w:tc>
      </w:tr>
    </w:tbl>
    <w:p w14:paraId="2A7D5531" w14:textId="77777777" w:rsidR="00E66558" w:rsidRDefault="00E66558" w:rsidP="00AA355B"/>
    <w:p w14:paraId="2A7D5532" w14:textId="6B85E6BF" w:rsidR="00E66558" w:rsidRPr="00AA355B" w:rsidRDefault="00407D07" w:rsidP="00AA355B">
      <w:pPr>
        <w:pStyle w:val="Heading3"/>
      </w:pPr>
      <w:r>
        <w:lastRenderedPageBreak/>
        <w:t>Wider strategies</w:t>
      </w:r>
    </w:p>
    <w:p w14:paraId="2A7D5533" w14:textId="0550F96D" w:rsidR="00E66558" w:rsidRDefault="00395AE5">
      <w:pPr>
        <w:spacing w:before="240" w:after="120"/>
      </w:pPr>
      <w:r>
        <w:t xml:space="preserve">Budgeted cost: </w:t>
      </w:r>
      <w:r w:rsidR="007A7B97">
        <w:t>£55,855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3517509" w:rsidR="00E66558" w:rsidRDefault="00A91CF8">
            <w:pPr>
              <w:pStyle w:val="TableRow"/>
            </w:pPr>
            <w:r>
              <w:rPr>
                <w:i/>
                <w:iCs/>
                <w:sz w:val="22"/>
                <w:szCs w:val="22"/>
              </w:rPr>
              <w:t xml:space="preserve">To employ a </w:t>
            </w:r>
            <w:r w:rsidR="00645052">
              <w:rPr>
                <w:i/>
                <w:iCs/>
                <w:sz w:val="22"/>
                <w:szCs w:val="22"/>
              </w:rPr>
              <w:t>Care Guidance Manager</w:t>
            </w:r>
            <w:r>
              <w:rPr>
                <w:i/>
                <w:iCs/>
                <w:sz w:val="22"/>
                <w:szCs w:val="22"/>
              </w:rPr>
              <w:t xml:space="preserve"> to work with pupils and families to </w:t>
            </w:r>
            <w:r w:rsidR="00BC6790">
              <w:rPr>
                <w:i/>
                <w:iCs/>
                <w:sz w:val="22"/>
                <w:szCs w:val="22"/>
              </w:rPr>
              <w:t xml:space="preserve">improve parental engagement and </w:t>
            </w:r>
            <w:r>
              <w:rPr>
                <w:i/>
                <w:iCs/>
                <w:sz w:val="22"/>
                <w:szCs w:val="22"/>
              </w:rPr>
              <w:t>address individual issues around readiness for school, barriers to learning, attendance/punctuality and social, emotional and mental health issues.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4A4C" w14:textId="77777777" w:rsidR="0070092B" w:rsidRDefault="0070092B">
            <w:pPr>
              <w:pStyle w:val="TableRowCentered"/>
              <w:jc w:val="left"/>
              <w:rPr>
                <w:sz w:val="22"/>
              </w:rPr>
            </w:pPr>
            <w:r>
              <w:rPr>
                <w:sz w:val="22"/>
              </w:rPr>
              <w:t>EEF:</w:t>
            </w:r>
          </w:p>
          <w:p w14:paraId="3DE87115" w14:textId="0557CF82" w:rsidR="00BC6790" w:rsidRDefault="00BC6790">
            <w:pPr>
              <w:pStyle w:val="TableRowCentered"/>
              <w:jc w:val="left"/>
              <w:rPr>
                <w:sz w:val="22"/>
              </w:rPr>
            </w:pPr>
            <w:r w:rsidRPr="00BC6790">
              <w:rPr>
                <w:sz w:val="22"/>
              </w:rPr>
              <w:t>‘Parental engagement has a positive impact on average of 4 months’ additional progress. It is crucial to consider how to engage with all parents to avoid widening attainment gaps.’</w:t>
            </w:r>
            <w:r w:rsidR="004378D9">
              <w:rPr>
                <w:sz w:val="22"/>
              </w:rPr>
              <w:t xml:space="preserve"> </w:t>
            </w:r>
          </w:p>
          <w:p w14:paraId="2A7D5539" w14:textId="708ECBA7" w:rsidR="004378D9" w:rsidRDefault="004378D9">
            <w:pPr>
              <w:pStyle w:val="TableRowCentered"/>
              <w:jc w:val="left"/>
              <w:rPr>
                <w:sz w:val="22"/>
              </w:rPr>
            </w:pPr>
            <w:r>
              <w:rPr>
                <w:sz w:val="22"/>
              </w:rPr>
              <w:t>‘</w:t>
            </w:r>
            <w:r w:rsidRPr="004378D9">
              <w:rPr>
                <w:sz w:val="22"/>
              </w:rPr>
              <w:t>Social and emotional skills support effective learning and are linked to positive outcomes later in life.</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1AC2A593" w:rsidR="00E66558" w:rsidRDefault="00000457">
            <w:pPr>
              <w:pStyle w:val="TableRowCentered"/>
              <w:jc w:val="left"/>
              <w:rPr>
                <w:sz w:val="22"/>
              </w:rPr>
            </w:pPr>
            <w:r>
              <w:rPr>
                <w:sz w:val="22"/>
              </w:rPr>
              <w:t xml:space="preserve">1, 3, 4, </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18E6020B" w:rsidR="00E66558" w:rsidRDefault="00234AD1">
            <w:pPr>
              <w:pStyle w:val="TableRow"/>
              <w:rPr>
                <w:i/>
                <w:sz w:val="22"/>
              </w:rPr>
            </w:pPr>
            <w:r>
              <w:rPr>
                <w:i/>
                <w:sz w:val="22"/>
              </w:rPr>
              <w:t xml:space="preserve">Employ an attendance officer to work with families undertaking meetings, home visits and legal interventions where appropriate.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D0834" w14:textId="77777777" w:rsidR="00E66558" w:rsidRDefault="0070092B">
            <w:pPr>
              <w:pStyle w:val="TableRowCentered"/>
              <w:jc w:val="left"/>
              <w:rPr>
                <w:sz w:val="22"/>
              </w:rPr>
            </w:pPr>
            <w:r>
              <w:rPr>
                <w:sz w:val="22"/>
              </w:rPr>
              <w:t>EEF:</w:t>
            </w:r>
          </w:p>
          <w:p w14:paraId="2A7D553D" w14:textId="11BB78C4" w:rsidR="0070092B" w:rsidRDefault="0070092B">
            <w:pPr>
              <w:pStyle w:val="TableRowCentered"/>
              <w:jc w:val="left"/>
              <w:rPr>
                <w:sz w:val="22"/>
              </w:rPr>
            </w:pPr>
            <w:r>
              <w:rPr>
                <w:sz w:val="22"/>
              </w:rPr>
              <w:t>‘</w:t>
            </w:r>
            <w:r w:rsidRPr="0070092B">
              <w:rPr>
                <w:sz w:val="22"/>
              </w:rPr>
              <w:t>There are a range of approaches which aim to improve school attendance. Some parental communication approaches and targeted parental engagement interventions show promise in supporting pupil attendance.</w:t>
            </w:r>
            <w:r>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4F125DF" w:rsidR="00E66558" w:rsidRDefault="00000457">
            <w:pPr>
              <w:pStyle w:val="TableRowCentered"/>
              <w:jc w:val="left"/>
              <w:rPr>
                <w:sz w:val="22"/>
              </w:rPr>
            </w:pPr>
            <w:r>
              <w:rPr>
                <w:sz w:val="22"/>
              </w:rPr>
              <w:t xml:space="preserve">1, </w:t>
            </w:r>
          </w:p>
        </w:tc>
      </w:tr>
    </w:tbl>
    <w:p w14:paraId="2A7D5540" w14:textId="77777777" w:rsidR="00E66558" w:rsidRDefault="00E66558">
      <w:pPr>
        <w:spacing w:before="240" w:after="0"/>
        <w:rPr>
          <w:b/>
          <w:bCs/>
          <w:color w:val="104F75"/>
          <w:sz w:val="28"/>
          <w:szCs w:val="28"/>
        </w:rPr>
      </w:pPr>
    </w:p>
    <w:p w14:paraId="2A7D5541" w14:textId="502965BF" w:rsidR="00E66558" w:rsidRDefault="009D71E8" w:rsidP="00120AB1">
      <w:r>
        <w:rPr>
          <w:b/>
          <w:bCs/>
          <w:color w:val="104F75"/>
          <w:sz w:val="28"/>
          <w:szCs w:val="28"/>
        </w:rPr>
        <w:t xml:space="preserve">Total budgeted cost: £ </w:t>
      </w:r>
      <w:r w:rsidR="00D7075C">
        <w:rPr>
          <w:b/>
          <w:bCs/>
          <w:color w:val="104F75"/>
          <w:sz w:val="28"/>
          <w:szCs w:val="28"/>
        </w:rPr>
        <w:t>129,770</w:t>
      </w:r>
    </w:p>
    <w:p w14:paraId="4044F6D3" w14:textId="4F7D216D" w:rsidR="00BD2037" w:rsidRPr="00064366" w:rsidRDefault="00BD2037" w:rsidP="00BD2037">
      <w:pPr>
        <w:pStyle w:val="Heading1"/>
      </w:pPr>
      <w:r w:rsidRPr="00064366">
        <w:t>Part B: Review of the previous academic year</w:t>
      </w:r>
      <w:r>
        <w:t xml:space="preserve"> </w:t>
      </w:r>
    </w:p>
    <w:p w14:paraId="30BDD18C" w14:textId="77777777" w:rsidR="00BD2037" w:rsidRDefault="00BD2037" w:rsidP="00BD2037">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BD2037" w14:paraId="4476466B" w14:textId="77777777" w:rsidTr="004F6E4E">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7BD510" w14:textId="1682C85B" w:rsidR="00BD2037" w:rsidRDefault="00BD2037" w:rsidP="00BD2037">
            <w:r>
              <w:t>We have analysed the performance of our school’s disadvantaged pupils during</w:t>
            </w:r>
            <w:r>
              <w:t xml:space="preserve"> the 2023/24</w:t>
            </w:r>
            <w:r>
              <w:t xml:space="preserve"> </w:t>
            </w:r>
            <w:r>
              <w:t>academic year using key stage 2 performance data.</w:t>
            </w:r>
          </w:p>
          <w:tbl>
            <w:tblPr>
              <w:tblStyle w:val="TableGrid"/>
              <w:tblW w:w="0" w:type="auto"/>
              <w:tblLook w:val="04A0" w:firstRow="1" w:lastRow="0" w:firstColumn="1" w:lastColumn="0" w:noHBand="0" w:noVBand="1"/>
            </w:tblPr>
            <w:tblGrid>
              <w:gridCol w:w="3089"/>
              <w:gridCol w:w="3089"/>
              <w:gridCol w:w="3089"/>
            </w:tblGrid>
            <w:tr w:rsidR="00BD2037" w14:paraId="0059D082" w14:textId="77777777" w:rsidTr="00BD2037">
              <w:tc>
                <w:tcPr>
                  <w:tcW w:w="3089" w:type="dxa"/>
                </w:tcPr>
                <w:p w14:paraId="4C345B05" w14:textId="21C33D3A" w:rsidR="003826A9" w:rsidRPr="003826A9" w:rsidRDefault="003826A9" w:rsidP="00BD2037">
                  <w:pPr>
                    <w:rPr>
                      <w:b/>
                    </w:rPr>
                  </w:pPr>
                  <w:r w:rsidRPr="003826A9">
                    <w:rPr>
                      <w:b/>
                    </w:rPr>
                    <w:t>KS2 DFE Assessments:</w:t>
                  </w:r>
                </w:p>
                <w:p w14:paraId="5DC8A775" w14:textId="460F9110" w:rsidR="00BD2037" w:rsidRPr="003826A9" w:rsidRDefault="003826A9" w:rsidP="00BD2037">
                  <w:pPr>
                    <w:rPr>
                      <w:b/>
                    </w:rPr>
                  </w:pPr>
                  <w:r w:rsidRPr="003826A9">
                    <w:rPr>
                      <w:b/>
                    </w:rPr>
                    <w:t xml:space="preserve">Year 6 – 89 pupils total (22 disadvantaged pupils) </w:t>
                  </w:r>
                </w:p>
              </w:tc>
              <w:tc>
                <w:tcPr>
                  <w:tcW w:w="3089" w:type="dxa"/>
                </w:tcPr>
                <w:p w14:paraId="75CD2252" w14:textId="22E4EE00" w:rsidR="00BD2037" w:rsidRPr="003826A9" w:rsidRDefault="003826A9" w:rsidP="00BD2037">
                  <w:pPr>
                    <w:rPr>
                      <w:b/>
                    </w:rPr>
                  </w:pPr>
                  <w:r w:rsidRPr="003826A9">
                    <w:rPr>
                      <w:b/>
                    </w:rPr>
                    <w:t>NILA EXS v National</w:t>
                  </w:r>
                  <w:r w:rsidR="002E17D1">
                    <w:rPr>
                      <w:b/>
                    </w:rPr>
                    <w:t xml:space="preserve"> All Pupils</w:t>
                  </w:r>
                </w:p>
              </w:tc>
              <w:tc>
                <w:tcPr>
                  <w:tcW w:w="3089" w:type="dxa"/>
                </w:tcPr>
                <w:p w14:paraId="59AA966E" w14:textId="2B7F145C" w:rsidR="00BD2037" w:rsidRPr="003826A9" w:rsidRDefault="005E53D9" w:rsidP="00BD2037">
                  <w:pPr>
                    <w:rPr>
                      <w:b/>
                    </w:rPr>
                  </w:pPr>
                  <w:r>
                    <w:rPr>
                      <w:b/>
                    </w:rPr>
                    <w:t>NILA GDS/Higher Standard</w:t>
                  </w:r>
                  <w:r w:rsidR="003826A9" w:rsidRPr="003826A9">
                    <w:rPr>
                      <w:b/>
                    </w:rPr>
                    <w:t xml:space="preserve"> v National</w:t>
                  </w:r>
                  <w:r w:rsidR="002E17D1">
                    <w:rPr>
                      <w:b/>
                    </w:rPr>
                    <w:t xml:space="preserve"> All Pupils</w:t>
                  </w:r>
                </w:p>
              </w:tc>
            </w:tr>
            <w:tr w:rsidR="00BD2037" w14:paraId="0483DF08" w14:textId="77777777" w:rsidTr="00BD2037">
              <w:tc>
                <w:tcPr>
                  <w:tcW w:w="3089" w:type="dxa"/>
                </w:tcPr>
                <w:p w14:paraId="10A0B6D7" w14:textId="6CA4CE4B" w:rsidR="00BD2037" w:rsidRPr="003826A9" w:rsidRDefault="003826A9" w:rsidP="00BD2037">
                  <w:pPr>
                    <w:rPr>
                      <w:b/>
                    </w:rPr>
                  </w:pPr>
                  <w:r w:rsidRPr="003826A9">
                    <w:rPr>
                      <w:b/>
                    </w:rPr>
                    <w:t>Reading</w:t>
                  </w:r>
                </w:p>
              </w:tc>
              <w:tc>
                <w:tcPr>
                  <w:tcW w:w="3089" w:type="dxa"/>
                </w:tcPr>
                <w:p w14:paraId="0092FEA6" w14:textId="74EA8F17" w:rsidR="00BD2037" w:rsidRDefault="003826A9" w:rsidP="00BD2037">
                  <w:r>
                    <w:t xml:space="preserve">89% </w:t>
                  </w:r>
                  <w:r w:rsidR="005E53D9">
                    <w:t>(Dis -</w:t>
                  </w:r>
                  <w:r w:rsidR="002E17D1">
                    <w:t xml:space="preserve"> 82%)</w:t>
                  </w:r>
                  <w:r w:rsidR="005E53D9">
                    <w:t xml:space="preserve">  v  </w:t>
                  </w:r>
                  <w:r>
                    <w:t>74%</w:t>
                  </w:r>
                </w:p>
              </w:tc>
              <w:tc>
                <w:tcPr>
                  <w:tcW w:w="3089" w:type="dxa"/>
                </w:tcPr>
                <w:p w14:paraId="223FCC0D" w14:textId="3CC7872E" w:rsidR="00BD2037" w:rsidRDefault="005E53D9" w:rsidP="00BD2037">
                  <w:r>
                    <w:t>47% (Dis - 41%)  v  28%</w:t>
                  </w:r>
                </w:p>
              </w:tc>
            </w:tr>
            <w:tr w:rsidR="00BD2037" w14:paraId="4A9311A1" w14:textId="77777777" w:rsidTr="00BD2037">
              <w:tc>
                <w:tcPr>
                  <w:tcW w:w="3089" w:type="dxa"/>
                </w:tcPr>
                <w:p w14:paraId="520FF1EC" w14:textId="26F3044E" w:rsidR="00BD2037" w:rsidRPr="003826A9" w:rsidRDefault="003826A9" w:rsidP="00BD2037">
                  <w:pPr>
                    <w:rPr>
                      <w:b/>
                    </w:rPr>
                  </w:pPr>
                  <w:r w:rsidRPr="003826A9">
                    <w:rPr>
                      <w:b/>
                    </w:rPr>
                    <w:t>Writing</w:t>
                  </w:r>
                </w:p>
              </w:tc>
              <w:tc>
                <w:tcPr>
                  <w:tcW w:w="3089" w:type="dxa"/>
                </w:tcPr>
                <w:p w14:paraId="48C0D788" w14:textId="3DECBE1B" w:rsidR="00BD2037" w:rsidRDefault="00545561" w:rsidP="00BD2037">
                  <w:r>
                    <w:t xml:space="preserve">89% </w:t>
                  </w:r>
                  <w:r w:rsidR="005E53D9">
                    <w:t>(Dis - 73%)  v  71%</w:t>
                  </w:r>
                </w:p>
              </w:tc>
              <w:tc>
                <w:tcPr>
                  <w:tcW w:w="3089" w:type="dxa"/>
                </w:tcPr>
                <w:p w14:paraId="29194C5B" w14:textId="227812EF" w:rsidR="00BD2037" w:rsidRDefault="00BC43B5" w:rsidP="00BD2037">
                  <w:r>
                    <w:t>20% (Dis - 14%)  v  13%</w:t>
                  </w:r>
                </w:p>
              </w:tc>
            </w:tr>
            <w:tr w:rsidR="00BD2037" w14:paraId="4E3E91AE" w14:textId="77777777" w:rsidTr="00BD2037">
              <w:tc>
                <w:tcPr>
                  <w:tcW w:w="3089" w:type="dxa"/>
                </w:tcPr>
                <w:p w14:paraId="07182DC6" w14:textId="12EA7B25" w:rsidR="00BD2037" w:rsidRPr="003826A9" w:rsidRDefault="003826A9" w:rsidP="00BD2037">
                  <w:pPr>
                    <w:rPr>
                      <w:b/>
                    </w:rPr>
                  </w:pPr>
                  <w:r w:rsidRPr="003826A9">
                    <w:rPr>
                      <w:b/>
                    </w:rPr>
                    <w:t>Maths</w:t>
                  </w:r>
                </w:p>
              </w:tc>
              <w:tc>
                <w:tcPr>
                  <w:tcW w:w="3089" w:type="dxa"/>
                </w:tcPr>
                <w:p w14:paraId="45A0C811" w14:textId="0CA4D031" w:rsidR="00BD2037" w:rsidRDefault="00545561" w:rsidP="00BD2037">
                  <w:r>
                    <w:t xml:space="preserve">83% </w:t>
                  </w:r>
                  <w:r w:rsidR="00BC43B5">
                    <w:t>(Dis - 59%)  v  73%</w:t>
                  </w:r>
                </w:p>
              </w:tc>
              <w:tc>
                <w:tcPr>
                  <w:tcW w:w="3089" w:type="dxa"/>
                </w:tcPr>
                <w:p w14:paraId="4428046D" w14:textId="6569E39D" w:rsidR="00BD2037" w:rsidRDefault="00545561" w:rsidP="00BD2037">
                  <w:r>
                    <w:t>51% (Dis - 32%)  v  24%</w:t>
                  </w:r>
                </w:p>
              </w:tc>
            </w:tr>
            <w:tr w:rsidR="00BD2037" w14:paraId="38526AAF" w14:textId="77777777" w:rsidTr="00BD2037">
              <w:tc>
                <w:tcPr>
                  <w:tcW w:w="3089" w:type="dxa"/>
                </w:tcPr>
                <w:p w14:paraId="51679002" w14:textId="1C95EF60" w:rsidR="00BD2037" w:rsidRPr="003826A9" w:rsidRDefault="003826A9" w:rsidP="00BD2037">
                  <w:pPr>
                    <w:rPr>
                      <w:b/>
                    </w:rPr>
                  </w:pPr>
                  <w:r w:rsidRPr="003826A9">
                    <w:rPr>
                      <w:b/>
                    </w:rPr>
                    <w:t>EGPS</w:t>
                  </w:r>
                </w:p>
              </w:tc>
              <w:tc>
                <w:tcPr>
                  <w:tcW w:w="3089" w:type="dxa"/>
                </w:tcPr>
                <w:p w14:paraId="0D0C87BA" w14:textId="5A842BF2" w:rsidR="00BD2037" w:rsidRDefault="00545561" w:rsidP="00BD2037">
                  <w:r>
                    <w:t>97% (Dis - 91%)  v  72%</w:t>
                  </w:r>
                </w:p>
              </w:tc>
              <w:tc>
                <w:tcPr>
                  <w:tcW w:w="3089" w:type="dxa"/>
                </w:tcPr>
                <w:p w14:paraId="34BFACBC" w14:textId="2B7C5757" w:rsidR="00BD2037" w:rsidRDefault="00171403" w:rsidP="00BD2037">
                  <w:r>
                    <w:t xml:space="preserve">67% (Dis </w:t>
                  </w:r>
                  <w:r w:rsidR="00E11A85">
                    <w:t>-</w:t>
                  </w:r>
                  <w:r>
                    <w:t xml:space="preserve"> 41%)  v  32%</w:t>
                  </w:r>
                </w:p>
              </w:tc>
            </w:tr>
            <w:tr w:rsidR="00BD2037" w14:paraId="51454FDA" w14:textId="77777777" w:rsidTr="00BD2037">
              <w:tc>
                <w:tcPr>
                  <w:tcW w:w="3089" w:type="dxa"/>
                </w:tcPr>
                <w:p w14:paraId="4CD392DD" w14:textId="184F1E82" w:rsidR="00BD2037" w:rsidRPr="003826A9" w:rsidRDefault="003826A9" w:rsidP="00BD2037">
                  <w:pPr>
                    <w:rPr>
                      <w:b/>
                    </w:rPr>
                  </w:pPr>
                  <w:r w:rsidRPr="003826A9">
                    <w:rPr>
                      <w:b/>
                    </w:rPr>
                    <w:t>RWM Combined</w:t>
                  </w:r>
                </w:p>
              </w:tc>
              <w:tc>
                <w:tcPr>
                  <w:tcW w:w="3089" w:type="dxa"/>
                </w:tcPr>
                <w:p w14:paraId="6BB61993" w14:textId="687C6C7E" w:rsidR="00BD2037" w:rsidRDefault="000E5474" w:rsidP="00BD2037">
                  <w:r>
                    <w:t xml:space="preserve">76% (Dis - 50%)  v  </w:t>
                  </w:r>
                  <w:r w:rsidR="00E11A85">
                    <w:t>60%</w:t>
                  </w:r>
                </w:p>
              </w:tc>
              <w:tc>
                <w:tcPr>
                  <w:tcW w:w="3089" w:type="dxa"/>
                </w:tcPr>
                <w:p w14:paraId="44000ED1" w14:textId="692B5AC0" w:rsidR="00BD2037" w:rsidRDefault="000E5474" w:rsidP="00BD2037">
                  <w:r>
                    <w:t xml:space="preserve">16% (Dis - 9%)  v  </w:t>
                  </w:r>
                  <w:r w:rsidR="00E11A85">
                    <w:t>8</w:t>
                  </w:r>
                  <w:r>
                    <w:t>%</w:t>
                  </w:r>
                </w:p>
              </w:tc>
            </w:tr>
          </w:tbl>
          <w:p w14:paraId="409111DC" w14:textId="7ABDDCD3" w:rsidR="00BD2037" w:rsidRDefault="00BD2037" w:rsidP="00BD2037">
            <w:pPr>
              <w:rPr>
                <w:i/>
                <w:iCs/>
                <w:color w:val="000000"/>
              </w:rPr>
            </w:pPr>
          </w:p>
          <w:p w14:paraId="5F0C5A2F" w14:textId="0DD30514" w:rsidR="00BD2037" w:rsidRPr="00F40AB8" w:rsidRDefault="00BD2037" w:rsidP="00BD2037">
            <w:pPr>
              <w:rPr>
                <w:b/>
                <w:iCs/>
                <w:color w:val="000000"/>
              </w:rPr>
            </w:pPr>
            <w:r w:rsidRPr="00BD2037">
              <w:rPr>
                <w:i/>
                <w:iCs/>
                <w:color w:val="000000"/>
              </w:rPr>
              <w:t>Disadvantaged pupils Maths attainment to exceed national average for all pupils by end of KS2</w:t>
            </w:r>
            <w:r w:rsidR="0075441E">
              <w:rPr>
                <w:i/>
                <w:iCs/>
                <w:color w:val="000000"/>
              </w:rPr>
              <w:t xml:space="preserve"> </w:t>
            </w:r>
            <w:r w:rsidR="00F40AB8">
              <w:rPr>
                <w:i/>
                <w:iCs/>
                <w:color w:val="000000"/>
              </w:rPr>
              <w:t xml:space="preserve">- </w:t>
            </w:r>
            <w:r w:rsidR="00991274">
              <w:rPr>
                <w:i/>
                <w:iCs/>
                <w:color w:val="000000"/>
              </w:rPr>
              <w:t xml:space="preserve"> 2023 – 2024: </w:t>
            </w:r>
            <w:r w:rsidR="00991274" w:rsidRPr="00991274">
              <w:rPr>
                <w:b/>
                <w:i/>
                <w:iCs/>
                <w:color w:val="000000"/>
              </w:rPr>
              <w:t>Partially met</w:t>
            </w:r>
            <w:r w:rsidR="00991274">
              <w:rPr>
                <w:b/>
                <w:i/>
                <w:iCs/>
                <w:color w:val="000000"/>
              </w:rPr>
              <w:t>-</w:t>
            </w:r>
            <w:r w:rsidR="00991274" w:rsidRPr="00991274">
              <w:rPr>
                <w:b/>
                <w:i/>
                <w:iCs/>
                <w:color w:val="000000"/>
              </w:rPr>
              <w:t xml:space="preserve"> 59% v 73% (EXS)</w:t>
            </w:r>
            <w:r w:rsidR="00991274">
              <w:rPr>
                <w:b/>
                <w:i/>
                <w:iCs/>
                <w:color w:val="000000"/>
              </w:rPr>
              <w:t>,</w:t>
            </w:r>
            <w:r w:rsidR="00991274" w:rsidRPr="00991274">
              <w:rPr>
                <w:b/>
                <w:i/>
                <w:iCs/>
                <w:color w:val="000000"/>
              </w:rPr>
              <w:t xml:space="preserve"> 32% v 24% (Higher Standard)</w:t>
            </w:r>
          </w:p>
          <w:p w14:paraId="77ECA8AB" w14:textId="76D8C0F1" w:rsidR="00BD2037" w:rsidRPr="00BD2037" w:rsidRDefault="00BD2037" w:rsidP="00BD2037">
            <w:pPr>
              <w:rPr>
                <w:i/>
                <w:iCs/>
                <w:color w:val="000000"/>
              </w:rPr>
            </w:pPr>
            <w:r w:rsidRPr="00BD2037">
              <w:rPr>
                <w:i/>
                <w:iCs/>
                <w:color w:val="000000"/>
              </w:rPr>
              <w:t>Disadvantaged pupils Reading attainment to exceed national average for all pupils by end of KS2</w:t>
            </w:r>
            <w:r w:rsidR="00991274">
              <w:rPr>
                <w:i/>
                <w:iCs/>
                <w:color w:val="000000"/>
              </w:rPr>
              <w:t xml:space="preserve">: </w:t>
            </w:r>
            <w:r w:rsidR="00991274" w:rsidRPr="00991274">
              <w:rPr>
                <w:b/>
                <w:i/>
                <w:iCs/>
                <w:color w:val="000000"/>
              </w:rPr>
              <w:t>Met- 82% v 74% (EXS), 41% v 28% (Higher Standard)</w:t>
            </w:r>
          </w:p>
          <w:p w14:paraId="6FEF7EFC" w14:textId="3F397591" w:rsidR="002D2E82" w:rsidRDefault="00BD2037" w:rsidP="00991274">
            <w:pPr>
              <w:rPr>
                <w:b/>
                <w:i/>
                <w:iCs/>
                <w:color w:val="000000"/>
              </w:rPr>
            </w:pPr>
            <w:r w:rsidRPr="00BD2037">
              <w:rPr>
                <w:i/>
                <w:iCs/>
                <w:color w:val="000000"/>
              </w:rPr>
              <w:t>Disadvantaged pupils Writing attainment to exceed national average for all pupils by end of KS2</w:t>
            </w:r>
            <w:r w:rsidR="00991274">
              <w:rPr>
                <w:i/>
                <w:iCs/>
                <w:color w:val="000000"/>
              </w:rPr>
              <w:t xml:space="preserve">: </w:t>
            </w:r>
            <w:r w:rsidR="00991274" w:rsidRPr="00991274">
              <w:rPr>
                <w:b/>
                <w:i/>
                <w:iCs/>
                <w:color w:val="000000"/>
              </w:rPr>
              <w:t>Met- 82% v 74% (EXS), 41% v 28% (GDS)</w:t>
            </w:r>
          </w:p>
          <w:p w14:paraId="19874AFC" w14:textId="77777777" w:rsidR="002D2E82" w:rsidRPr="002D2E82" w:rsidRDefault="002D2E82" w:rsidP="002D2E82">
            <w:pPr>
              <w:pStyle w:val="TableRowCentered"/>
              <w:jc w:val="left"/>
              <w:rPr>
                <w:b/>
                <w:i/>
                <w:sz w:val="22"/>
                <w:szCs w:val="22"/>
              </w:rPr>
            </w:pPr>
            <w:r w:rsidRPr="002D2E82">
              <w:rPr>
                <w:i/>
                <w:iCs/>
                <w:color w:val="000000"/>
              </w:rPr>
              <w:t>Improve average atte</w:t>
            </w:r>
            <w:r>
              <w:rPr>
                <w:i/>
                <w:iCs/>
                <w:color w:val="000000"/>
              </w:rPr>
              <w:t xml:space="preserve">ndance for disadvantaged pupils: </w:t>
            </w:r>
            <w:r w:rsidRPr="002D2E82">
              <w:rPr>
                <w:b/>
                <w:i/>
                <w:iCs/>
                <w:color w:val="000000"/>
              </w:rPr>
              <w:t xml:space="preserve">Met- </w:t>
            </w:r>
            <w:r w:rsidRPr="002D2E82">
              <w:rPr>
                <w:b/>
                <w:i/>
                <w:sz w:val="22"/>
                <w:szCs w:val="22"/>
              </w:rPr>
              <w:t>Reduction in attendance gap between disadvantaged and non-disadvantaged pupils.</w:t>
            </w:r>
          </w:p>
          <w:p w14:paraId="76545486" w14:textId="77777777" w:rsidR="002D2E82" w:rsidRPr="002D2E82" w:rsidRDefault="002D2E82" w:rsidP="002D2E82">
            <w:pPr>
              <w:pStyle w:val="TableRowCentered"/>
              <w:jc w:val="left"/>
              <w:rPr>
                <w:b/>
                <w:i/>
                <w:sz w:val="22"/>
                <w:szCs w:val="22"/>
              </w:rPr>
            </w:pPr>
            <w:r w:rsidRPr="002D2E82">
              <w:rPr>
                <w:b/>
                <w:i/>
                <w:sz w:val="22"/>
                <w:szCs w:val="22"/>
              </w:rPr>
              <w:t xml:space="preserve">2022 – 2023: Disadvantaged= 93.9%  </w:t>
            </w:r>
          </w:p>
          <w:p w14:paraId="1C3B949D" w14:textId="77777777" w:rsidR="002D2E82" w:rsidRPr="002D2E82" w:rsidRDefault="002D2E82" w:rsidP="002D2E82">
            <w:pPr>
              <w:pStyle w:val="TableRowCentered"/>
              <w:jc w:val="left"/>
              <w:rPr>
                <w:b/>
                <w:i/>
                <w:sz w:val="22"/>
                <w:szCs w:val="22"/>
              </w:rPr>
            </w:pPr>
            <w:r w:rsidRPr="002D2E82">
              <w:rPr>
                <w:b/>
                <w:i/>
                <w:sz w:val="22"/>
                <w:szCs w:val="22"/>
              </w:rPr>
              <w:t>Non-Disadvantaged = 96.8%. Gap of 2.9%</w:t>
            </w:r>
          </w:p>
          <w:p w14:paraId="34C10F4C" w14:textId="77777777" w:rsidR="002D2E82" w:rsidRPr="002D2E82" w:rsidRDefault="002D2E82" w:rsidP="002D2E82">
            <w:pPr>
              <w:pStyle w:val="TableRowCentered"/>
              <w:jc w:val="left"/>
              <w:rPr>
                <w:b/>
                <w:i/>
                <w:color w:val="auto"/>
                <w:sz w:val="22"/>
                <w:szCs w:val="22"/>
              </w:rPr>
            </w:pPr>
            <w:r w:rsidRPr="002D2E82">
              <w:rPr>
                <w:b/>
                <w:i/>
                <w:color w:val="auto"/>
                <w:sz w:val="22"/>
                <w:szCs w:val="22"/>
              </w:rPr>
              <w:t xml:space="preserve">2023 – 2024: … Disadvantaged= 96.5%  </w:t>
            </w:r>
          </w:p>
          <w:p w14:paraId="115351D0" w14:textId="08CB3E00" w:rsidR="00991274" w:rsidRPr="002D2E82" w:rsidRDefault="002D2E82" w:rsidP="00991274">
            <w:pPr>
              <w:rPr>
                <w:b/>
                <w:i/>
                <w:iCs/>
                <w:color w:val="000000"/>
              </w:rPr>
            </w:pPr>
            <w:r w:rsidRPr="002D2E82">
              <w:rPr>
                <w:b/>
                <w:i/>
                <w:color w:val="auto"/>
                <w:sz w:val="22"/>
                <w:szCs w:val="22"/>
              </w:rPr>
              <w:t>Non-Disadvantaged = 97.4%. Gap of 0.9%</w:t>
            </w:r>
            <w:bookmarkStart w:id="17" w:name="_GoBack"/>
            <w:bookmarkEnd w:id="17"/>
          </w:p>
        </w:tc>
      </w:tr>
    </w:tbl>
    <w:p w14:paraId="08785702" w14:textId="77777777" w:rsidR="00BD2037" w:rsidRDefault="00BD2037" w:rsidP="00BD2037">
      <w:pPr>
        <w:pStyle w:val="Heading2"/>
      </w:pPr>
      <w:r>
        <w:t xml:space="preserve">Externally provided </w:t>
      </w:r>
      <w:r w:rsidRPr="00781713">
        <w:t>programmes</w:t>
      </w:r>
    </w:p>
    <w:p w14:paraId="0BAE9CEE" w14:textId="77777777" w:rsidR="00BD2037" w:rsidRDefault="00BD2037" w:rsidP="00BD2037">
      <w:pPr>
        <w:rPr>
          <w:i/>
          <w:iCs/>
        </w:rPr>
      </w:pPr>
      <w:r w:rsidRPr="07FFD3D3">
        <w:rPr>
          <w:i/>
          <w:iCs/>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BD2037" w14:paraId="218E1848" w14:textId="77777777" w:rsidTr="004F6E4E">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4C70897" w14:textId="77777777" w:rsidR="00BD2037" w:rsidRDefault="00BD2037" w:rsidP="004F6E4E">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2A15030" w14:textId="77777777" w:rsidR="00BD2037" w:rsidRDefault="00BD2037" w:rsidP="004F6E4E">
            <w:pPr>
              <w:pStyle w:val="TableHeader"/>
              <w:ind w:left="0" w:right="0"/>
              <w:jc w:val="left"/>
            </w:pPr>
            <w:r>
              <w:t>Provider</w:t>
            </w:r>
          </w:p>
        </w:tc>
      </w:tr>
      <w:tr w:rsidR="00BD2037" w14:paraId="4EDBB3E0" w14:textId="77777777" w:rsidTr="004F6E4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3" w14:textId="77777777" w:rsidR="00BD2037" w:rsidRDefault="00BD2037" w:rsidP="004F6E4E">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D6FF" w14:textId="77777777" w:rsidR="00BD2037" w:rsidRDefault="00BD2037" w:rsidP="004F6E4E">
            <w:pPr>
              <w:pStyle w:val="TableRowCentered"/>
              <w:ind w:left="0" w:right="0"/>
              <w:jc w:val="left"/>
            </w:pPr>
          </w:p>
        </w:tc>
      </w:tr>
      <w:tr w:rsidR="00BD2037" w14:paraId="6D825C00" w14:textId="77777777" w:rsidTr="004F6E4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7DE7" w14:textId="77777777" w:rsidR="00BD2037" w:rsidRDefault="00BD2037" w:rsidP="004F6E4E">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AE57B" w14:textId="77777777" w:rsidR="00BD2037" w:rsidRDefault="00BD2037" w:rsidP="004F6E4E">
            <w:pPr>
              <w:pStyle w:val="TableRowCentered"/>
              <w:ind w:left="0" w:right="0"/>
              <w:jc w:val="left"/>
            </w:pPr>
          </w:p>
        </w:tc>
      </w:tr>
    </w:tbl>
    <w:p w14:paraId="3D104E4E" w14:textId="77777777" w:rsidR="00BD2037" w:rsidRDefault="00BD2037" w:rsidP="00BD2037"/>
    <w:p w14:paraId="2A7D5553" w14:textId="193B71B2" w:rsidR="00E66558" w:rsidRDefault="00E66558" w:rsidP="0008384B"/>
    <w:bookmarkEnd w:id="14"/>
    <w:bookmarkEnd w:id="15"/>
    <w:bookmarkEnd w:id="16"/>
    <w:p w14:paraId="2A7D5564" w14:textId="5BE461BF"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87C5B" w14:textId="77777777" w:rsidR="00C12746" w:rsidRDefault="00C12746">
      <w:pPr>
        <w:spacing w:after="0" w:line="240" w:lineRule="auto"/>
      </w:pPr>
      <w:r>
        <w:separator/>
      </w:r>
    </w:p>
  </w:endnote>
  <w:endnote w:type="continuationSeparator" w:id="0">
    <w:p w14:paraId="3D0B605C" w14:textId="77777777" w:rsidR="00C12746" w:rsidRDefault="00C12746">
      <w:pPr>
        <w:spacing w:after="0" w:line="240" w:lineRule="auto"/>
      </w:pPr>
      <w:r>
        <w:continuationSeparator/>
      </w:r>
    </w:p>
  </w:endnote>
  <w:endnote w:type="continuationNotice" w:id="1">
    <w:p w14:paraId="5937F05E" w14:textId="77777777" w:rsidR="00C12746" w:rsidRDefault="00C12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29F9D003" w:rsidR="00C373EA" w:rsidRDefault="009D71E8">
    <w:pPr>
      <w:pStyle w:val="Footer"/>
      <w:ind w:firstLine="4513"/>
    </w:pPr>
    <w:r>
      <w:fldChar w:fldCharType="begin"/>
    </w:r>
    <w:r>
      <w:instrText xml:space="preserve"> PAGE </w:instrText>
    </w:r>
    <w:r>
      <w:fldChar w:fldCharType="separate"/>
    </w:r>
    <w:r w:rsidR="002D2E8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DFE4" w14:textId="77777777" w:rsidR="00C12746" w:rsidRDefault="00C12746">
      <w:pPr>
        <w:spacing w:after="0" w:line="240" w:lineRule="auto"/>
      </w:pPr>
      <w:r>
        <w:separator/>
      </w:r>
    </w:p>
  </w:footnote>
  <w:footnote w:type="continuationSeparator" w:id="0">
    <w:p w14:paraId="527955F0" w14:textId="77777777" w:rsidR="00C12746" w:rsidRDefault="00C12746">
      <w:pPr>
        <w:spacing w:after="0" w:line="240" w:lineRule="auto"/>
      </w:pPr>
      <w:r>
        <w:continuationSeparator/>
      </w:r>
    </w:p>
  </w:footnote>
  <w:footnote w:type="continuationNotice" w:id="1">
    <w:p w14:paraId="7C8694AF" w14:textId="77777777" w:rsidR="00C12746" w:rsidRDefault="00C12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B86"/>
    <w:multiLevelType w:val="hybridMultilevel"/>
    <w:tmpl w:val="82CADF42"/>
    <w:lvl w:ilvl="0" w:tplc="A97C6D6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A1E455E"/>
    <w:multiLevelType w:val="hybridMultilevel"/>
    <w:tmpl w:val="83BE8996"/>
    <w:lvl w:ilvl="0" w:tplc="34C2820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1"/>
  </w:num>
  <w:num w:numId="6">
    <w:abstractNumId w:val="8"/>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7"/>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0457"/>
    <w:rsid w:val="00002FAA"/>
    <w:rsid w:val="00003A45"/>
    <w:rsid w:val="00023729"/>
    <w:rsid w:val="000243B4"/>
    <w:rsid w:val="000452EB"/>
    <w:rsid w:val="000463AE"/>
    <w:rsid w:val="000507A3"/>
    <w:rsid w:val="00060A62"/>
    <w:rsid w:val="00064366"/>
    <w:rsid w:val="00066B73"/>
    <w:rsid w:val="00071481"/>
    <w:rsid w:val="00074830"/>
    <w:rsid w:val="00075FAE"/>
    <w:rsid w:val="00082F38"/>
    <w:rsid w:val="0008384B"/>
    <w:rsid w:val="000929EC"/>
    <w:rsid w:val="00093CDE"/>
    <w:rsid w:val="000A6379"/>
    <w:rsid w:val="000B6D4D"/>
    <w:rsid w:val="000C62ED"/>
    <w:rsid w:val="000D0B4A"/>
    <w:rsid w:val="000D22B0"/>
    <w:rsid w:val="000D35C9"/>
    <w:rsid w:val="000D520C"/>
    <w:rsid w:val="000D6596"/>
    <w:rsid w:val="000E5474"/>
    <w:rsid w:val="000E6DF0"/>
    <w:rsid w:val="000F6075"/>
    <w:rsid w:val="001037CB"/>
    <w:rsid w:val="0010629E"/>
    <w:rsid w:val="0011395F"/>
    <w:rsid w:val="00113F0D"/>
    <w:rsid w:val="00115538"/>
    <w:rsid w:val="00120AB1"/>
    <w:rsid w:val="00123A7F"/>
    <w:rsid w:val="001278D0"/>
    <w:rsid w:val="00127F72"/>
    <w:rsid w:val="00140646"/>
    <w:rsid w:val="00147A4B"/>
    <w:rsid w:val="001671ED"/>
    <w:rsid w:val="00171403"/>
    <w:rsid w:val="00172507"/>
    <w:rsid w:val="001727FA"/>
    <w:rsid w:val="00173D4C"/>
    <w:rsid w:val="00183218"/>
    <w:rsid w:val="00185988"/>
    <w:rsid w:val="001873B6"/>
    <w:rsid w:val="001901E6"/>
    <w:rsid w:val="00191305"/>
    <w:rsid w:val="00195B55"/>
    <w:rsid w:val="00197238"/>
    <w:rsid w:val="001A2FE8"/>
    <w:rsid w:val="001A33AC"/>
    <w:rsid w:val="001C1C51"/>
    <w:rsid w:val="001D0C0A"/>
    <w:rsid w:val="001E0ECA"/>
    <w:rsid w:val="001E206F"/>
    <w:rsid w:val="001E5750"/>
    <w:rsid w:val="001E7739"/>
    <w:rsid w:val="001F3DB4"/>
    <w:rsid w:val="00204F40"/>
    <w:rsid w:val="00205DEF"/>
    <w:rsid w:val="00216C8A"/>
    <w:rsid w:val="00220D93"/>
    <w:rsid w:val="00226317"/>
    <w:rsid w:val="00231539"/>
    <w:rsid w:val="00232D9E"/>
    <w:rsid w:val="00234AD1"/>
    <w:rsid w:val="00246E56"/>
    <w:rsid w:val="002523E3"/>
    <w:rsid w:val="00266FA5"/>
    <w:rsid w:val="002920F4"/>
    <w:rsid w:val="002940F3"/>
    <w:rsid w:val="00295842"/>
    <w:rsid w:val="00295B88"/>
    <w:rsid w:val="002B3574"/>
    <w:rsid w:val="002B6B74"/>
    <w:rsid w:val="002C6AE7"/>
    <w:rsid w:val="002D2D4B"/>
    <w:rsid w:val="002D2E82"/>
    <w:rsid w:val="002D3805"/>
    <w:rsid w:val="002E17D1"/>
    <w:rsid w:val="002E66AE"/>
    <w:rsid w:val="002E7763"/>
    <w:rsid w:val="002F5842"/>
    <w:rsid w:val="002F783B"/>
    <w:rsid w:val="00306CB7"/>
    <w:rsid w:val="003111F5"/>
    <w:rsid w:val="00336200"/>
    <w:rsid w:val="00337418"/>
    <w:rsid w:val="00347C9B"/>
    <w:rsid w:val="00351D83"/>
    <w:rsid w:val="00353E46"/>
    <w:rsid w:val="003576C4"/>
    <w:rsid w:val="00366AB0"/>
    <w:rsid w:val="0037437C"/>
    <w:rsid w:val="0038146B"/>
    <w:rsid w:val="003826A9"/>
    <w:rsid w:val="0038340F"/>
    <w:rsid w:val="00384457"/>
    <w:rsid w:val="00384F24"/>
    <w:rsid w:val="00395AE5"/>
    <w:rsid w:val="00395D4A"/>
    <w:rsid w:val="003A32B2"/>
    <w:rsid w:val="003A47DD"/>
    <w:rsid w:val="003A634F"/>
    <w:rsid w:val="003B588A"/>
    <w:rsid w:val="003B621D"/>
    <w:rsid w:val="003C4388"/>
    <w:rsid w:val="003C4C27"/>
    <w:rsid w:val="003C67E0"/>
    <w:rsid w:val="003C7F7B"/>
    <w:rsid w:val="003D2BB2"/>
    <w:rsid w:val="003D2EAA"/>
    <w:rsid w:val="003E054C"/>
    <w:rsid w:val="003E27A0"/>
    <w:rsid w:val="003E3872"/>
    <w:rsid w:val="003E7775"/>
    <w:rsid w:val="004044AA"/>
    <w:rsid w:val="004044C8"/>
    <w:rsid w:val="00404F3F"/>
    <w:rsid w:val="00407D07"/>
    <w:rsid w:val="00410B5D"/>
    <w:rsid w:val="00413BEC"/>
    <w:rsid w:val="00417EB0"/>
    <w:rsid w:val="0042265E"/>
    <w:rsid w:val="00424ED7"/>
    <w:rsid w:val="00425258"/>
    <w:rsid w:val="00426217"/>
    <w:rsid w:val="00431A80"/>
    <w:rsid w:val="00435A89"/>
    <w:rsid w:val="004378D9"/>
    <w:rsid w:val="00452267"/>
    <w:rsid w:val="00453307"/>
    <w:rsid w:val="00457E36"/>
    <w:rsid w:val="00462F8F"/>
    <w:rsid w:val="00481D56"/>
    <w:rsid w:val="00490408"/>
    <w:rsid w:val="00494EF6"/>
    <w:rsid w:val="004A10BF"/>
    <w:rsid w:val="004A4C45"/>
    <w:rsid w:val="004B0485"/>
    <w:rsid w:val="004B428E"/>
    <w:rsid w:val="004B4D37"/>
    <w:rsid w:val="004C42F0"/>
    <w:rsid w:val="004C433A"/>
    <w:rsid w:val="004E1D73"/>
    <w:rsid w:val="0051286E"/>
    <w:rsid w:val="00516021"/>
    <w:rsid w:val="00516457"/>
    <w:rsid w:val="00520A0C"/>
    <w:rsid w:val="00530E37"/>
    <w:rsid w:val="00545561"/>
    <w:rsid w:val="005464A1"/>
    <w:rsid w:val="00546F12"/>
    <w:rsid w:val="0055339C"/>
    <w:rsid w:val="00562B3C"/>
    <w:rsid w:val="00564E40"/>
    <w:rsid w:val="005750E2"/>
    <w:rsid w:val="0058313F"/>
    <w:rsid w:val="00585859"/>
    <w:rsid w:val="00586FBC"/>
    <w:rsid w:val="005879C9"/>
    <w:rsid w:val="005A2D97"/>
    <w:rsid w:val="005A3C6B"/>
    <w:rsid w:val="005B1EA5"/>
    <w:rsid w:val="005D7176"/>
    <w:rsid w:val="005E1F24"/>
    <w:rsid w:val="005E53D9"/>
    <w:rsid w:val="005E73F1"/>
    <w:rsid w:val="005F07EF"/>
    <w:rsid w:val="005F4A6C"/>
    <w:rsid w:val="00600B2E"/>
    <w:rsid w:val="00607CEB"/>
    <w:rsid w:val="00610656"/>
    <w:rsid w:val="00613299"/>
    <w:rsid w:val="0061762D"/>
    <w:rsid w:val="00634238"/>
    <w:rsid w:val="00635FBC"/>
    <w:rsid w:val="00637728"/>
    <w:rsid w:val="0064113A"/>
    <w:rsid w:val="00644002"/>
    <w:rsid w:val="00645052"/>
    <w:rsid w:val="006458B1"/>
    <w:rsid w:val="00650529"/>
    <w:rsid w:val="00650BAB"/>
    <w:rsid w:val="00651737"/>
    <w:rsid w:val="006671BF"/>
    <w:rsid w:val="00672A7D"/>
    <w:rsid w:val="006730CF"/>
    <w:rsid w:val="00681416"/>
    <w:rsid w:val="006A06F5"/>
    <w:rsid w:val="006A0ED2"/>
    <w:rsid w:val="006A3B12"/>
    <w:rsid w:val="006B0A73"/>
    <w:rsid w:val="006B5A6B"/>
    <w:rsid w:val="006C0F82"/>
    <w:rsid w:val="006C332E"/>
    <w:rsid w:val="006C5901"/>
    <w:rsid w:val="006D6372"/>
    <w:rsid w:val="006D6E5C"/>
    <w:rsid w:val="006D7243"/>
    <w:rsid w:val="006E02AF"/>
    <w:rsid w:val="006E0786"/>
    <w:rsid w:val="006E6B4A"/>
    <w:rsid w:val="006E7449"/>
    <w:rsid w:val="006E7FB1"/>
    <w:rsid w:val="006F2604"/>
    <w:rsid w:val="006F5319"/>
    <w:rsid w:val="006F55FD"/>
    <w:rsid w:val="006F5D21"/>
    <w:rsid w:val="0070092B"/>
    <w:rsid w:val="00711BE3"/>
    <w:rsid w:val="00724FA7"/>
    <w:rsid w:val="00725415"/>
    <w:rsid w:val="00727505"/>
    <w:rsid w:val="00731581"/>
    <w:rsid w:val="00741B9E"/>
    <w:rsid w:val="00743DAC"/>
    <w:rsid w:val="0075337B"/>
    <w:rsid w:val="0075441E"/>
    <w:rsid w:val="00755CD4"/>
    <w:rsid w:val="00757F49"/>
    <w:rsid w:val="00757F96"/>
    <w:rsid w:val="00761915"/>
    <w:rsid w:val="00767D97"/>
    <w:rsid w:val="00785285"/>
    <w:rsid w:val="0078529D"/>
    <w:rsid w:val="00787DC1"/>
    <w:rsid w:val="00794070"/>
    <w:rsid w:val="007A713B"/>
    <w:rsid w:val="007A7B97"/>
    <w:rsid w:val="007B64E5"/>
    <w:rsid w:val="007C2F04"/>
    <w:rsid w:val="007C455C"/>
    <w:rsid w:val="007F1DBB"/>
    <w:rsid w:val="007F5B8B"/>
    <w:rsid w:val="008065AC"/>
    <w:rsid w:val="00817E9A"/>
    <w:rsid w:val="008225A5"/>
    <w:rsid w:val="00830D57"/>
    <w:rsid w:val="00836B02"/>
    <w:rsid w:val="00860B07"/>
    <w:rsid w:val="008616F6"/>
    <w:rsid w:val="0086259C"/>
    <w:rsid w:val="00877C5A"/>
    <w:rsid w:val="00883F24"/>
    <w:rsid w:val="00897E1F"/>
    <w:rsid w:val="008A3D9C"/>
    <w:rsid w:val="008B2CB4"/>
    <w:rsid w:val="008B6404"/>
    <w:rsid w:val="008C1B48"/>
    <w:rsid w:val="008C2C21"/>
    <w:rsid w:val="008C7DD3"/>
    <w:rsid w:val="008D350E"/>
    <w:rsid w:val="008E000B"/>
    <w:rsid w:val="008E2926"/>
    <w:rsid w:val="008E35C6"/>
    <w:rsid w:val="008E3F49"/>
    <w:rsid w:val="008F243B"/>
    <w:rsid w:val="008F3E10"/>
    <w:rsid w:val="008F4675"/>
    <w:rsid w:val="00904A66"/>
    <w:rsid w:val="0092287F"/>
    <w:rsid w:val="0092495B"/>
    <w:rsid w:val="0092660E"/>
    <w:rsid w:val="0093388D"/>
    <w:rsid w:val="00936519"/>
    <w:rsid w:val="00941DA3"/>
    <w:rsid w:val="00942C0C"/>
    <w:rsid w:val="009474CE"/>
    <w:rsid w:val="009539E3"/>
    <w:rsid w:val="00954A5E"/>
    <w:rsid w:val="009551B2"/>
    <w:rsid w:val="009634EC"/>
    <w:rsid w:val="00964625"/>
    <w:rsid w:val="00974103"/>
    <w:rsid w:val="00975930"/>
    <w:rsid w:val="00981C1D"/>
    <w:rsid w:val="0099109C"/>
    <w:rsid w:val="00991274"/>
    <w:rsid w:val="009936DB"/>
    <w:rsid w:val="00993CFC"/>
    <w:rsid w:val="009A1DC2"/>
    <w:rsid w:val="009C0914"/>
    <w:rsid w:val="009C27E5"/>
    <w:rsid w:val="009D71E8"/>
    <w:rsid w:val="009E104B"/>
    <w:rsid w:val="009E7DE4"/>
    <w:rsid w:val="009F3BBD"/>
    <w:rsid w:val="00A063DD"/>
    <w:rsid w:val="00A112B5"/>
    <w:rsid w:val="00A14EEA"/>
    <w:rsid w:val="00A44FBB"/>
    <w:rsid w:val="00A50104"/>
    <w:rsid w:val="00A522E0"/>
    <w:rsid w:val="00A57CA6"/>
    <w:rsid w:val="00A63579"/>
    <w:rsid w:val="00A638AC"/>
    <w:rsid w:val="00A727E5"/>
    <w:rsid w:val="00A748B5"/>
    <w:rsid w:val="00A80A32"/>
    <w:rsid w:val="00A82A98"/>
    <w:rsid w:val="00A82D16"/>
    <w:rsid w:val="00A91CF8"/>
    <w:rsid w:val="00A95F75"/>
    <w:rsid w:val="00A96B83"/>
    <w:rsid w:val="00AA355B"/>
    <w:rsid w:val="00AA42E5"/>
    <w:rsid w:val="00AB24FA"/>
    <w:rsid w:val="00AD22AF"/>
    <w:rsid w:val="00AD7B5A"/>
    <w:rsid w:val="00AE229F"/>
    <w:rsid w:val="00AE2FF9"/>
    <w:rsid w:val="00AF5E20"/>
    <w:rsid w:val="00B002FA"/>
    <w:rsid w:val="00B00327"/>
    <w:rsid w:val="00B024B3"/>
    <w:rsid w:val="00B06591"/>
    <w:rsid w:val="00B11DE8"/>
    <w:rsid w:val="00B13638"/>
    <w:rsid w:val="00B179ED"/>
    <w:rsid w:val="00B20E18"/>
    <w:rsid w:val="00B32FB0"/>
    <w:rsid w:val="00B37FAA"/>
    <w:rsid w:val="00B572C4"/>
    <w:rsid w:val="00B60858"/>
    <w:rsid w:val="00B74D4E"/>
    <w:rsid w:val="00B80219"/>
    <w:rsid w:val="00BA19A5"/>
    <w:rsid w:val="00BB4C52"/>
    <w:rsid w:val="00BC43B5"/>
    <w:rsid w:val="00BC6790"/>
    <w:rsid w:val="00BC67F6"/>
    <w:rsid w:val="00BD2004"/>
    <w:rsid w:val="00BD2037"/>
    <w:rsid w:val="00BD4B12"/>
    <w:rsid w:val="00BE2F92"/>
    <w:rsid w:val="00BF0D5F"/>
    <w:rsid w:val="00C079F2"/>
    <w:rsid w:val="00C11EB4"/>
    <w:rsid w:val="00C12746"/>
    <w:rsid w:val="00C2310D"/>
    <w:rsid w:val="00C25827"/>
    <w:rsid w:val="00C31BB8"/>
    <w:rsid w:val="00C373EA"/>
    <w:rsid w:val="00C621C1"/>
    <w:rsid w:val="00C62989"/>
    <w:rsid w:val="00C65CBB"/>
    <w:rsid w:val="00C80F37"/>
    <w:rsid w:val="00C81518"/>
    <w:rsid w:val="00C97A7F"/>
    <w:rsid w:val="00CB5B17"/>
    <w:rsid w:val="00CC4443"/>
    <w:rsid w:val="00CC5CAF"/>
    <w:rsid w:val="00CE5FFC"/>
    <w:rsid w:val="00CF1642"/>
    <w:rsid w:val="00D06874"/>
    <w:rsid w:val="00D173F7"/>
    <w:rsid w:val="00D20203"/>
    <w:rsid w:val="00D204E0"/>
    <w:rsid w:val="00D21354"/>
    <w:rsid w:val="00D22400"/>
    <w:rsid w:val="00D278BA"/>
    <w:rsid w:val="00D33FE5"/>
    <w:rsid w:val="00D3578A"/>
    <w:rsid w:val="00D4463C"/>
    <w:rsid w:val="00D501EE"/>
    <w:rsid w:val="00D517DC"/>
    <w:rsid w:val="00D5590D"/>
    <w:rsid w:val="00D618E4"/>
    <w:rsid w:val="00D61DA5"/>
    <w:rsid w:val="00D7075C"/>
    <w:rsid w:val="00D77299"/>
    <w:rsid w:val="00D85931"/>
    <w:rsid w:val="00D875ED"/>
    <w:rsid w:val="00D877D0"/>
    <w:rsid w:val="00D90013"/>
    <w:rsid w:val="00D91B9C"/>
    <w:rsid w:val="00D92C1B"/>
    <w:rsid w:val="00D94CC7"/>
    <w:rsid w:val="00DA1AF4"/>
    <w:rsid w:val="00DA63F3"/>
    <w:rsid w:val="00DB0719"/>
    <w:rsid w:val="00DB0C60"/>
    <w:rsid w:val="00DB4F2F"/>
    <w:rsid w:val="00DB7ED2"/>
    <w:rsid w:val="00DC641A"/>
    <w:rsid w:val="00DC75BB"/>
    <w:rsid w:val="00DD6B7D"/>
    <w:rsid w:val="00DD6E14"/>
    <w:rsid w:val="00DE15AC"/>
    <w:rsid w:val="00DE5EE7"/>
    <w:rsid w:val="00E05F5D"/>
    <w:rsid w:val="00E061EC"/>
    <w:rsid w:val="00E06B8C"/>
    <w:rsid w:val="00E11A85"/>
    <w:rsid w:val="00E13E51"/>
    <w:rsid w:val="00E43EAD"/>
    <w:rsid w:val="00E56175"/>
    <w:rsid w:val="00E62DCB"/>
    <w:rsid w:val="00E651DD"/>
    <w:rsid w:val="00E66558"/>
    <w:rsid w:val="00E70D81"/>
    <w:rsid w:val="00E726A6"/>
    <w:rsid w:val="00E76F0F"/>
    <w:rsid w:val="00E86F05"/>
    <w:rsid w:val="00EA3A2A"/>
    <w:rsid w:val="00EB4556"/>
    <w:rsid w:val="00EB64C8"/>
    <w:rsid w:val="00EC04A7"/>
    <w:rsid w:val="00ED5108"/>
    <w:rsid w:val="00ED6A15"/>
    <w:rsid w:val="00F012CA"/>
    <w:rsid w:val="00F01752"/>
    <w:rsid w:val="00F0355A"/>
    <w:rsid w:val="00F24A7E"/>
    <w:rsid w:val="00F264F7"/>
    <w:rsid w:val="00F33DC0"/>
    <w:rsid w:val="00F40AB8"/>
    <w:rsid w:val="00F50C61"/>
    <w:rsid w:val="00F62587"/>
    <w:rsid w:val="00F63E9E"/>
    <w:rsid w:val="00F76843"/>
    <w:rsid w:val="00F776E1"/>
    <w:rsid w:val="00F925EB"/>
    <w:rsid w:val="00FA6DD0"/>
    <w:rsid w:val="00FB18F9"/>
    <w:rsid w:val="00FB4700"/>
    <w:rsid w:val="00FC28DF"/>
    <w:rsid w:val="00FE3136"/>
    <w:rsid w:val="00FE453C"/>
    <w:rsid w:val="00FE50A3"/>
    <w:rsid w:val="00FF369D"/>
    <w:rsid w:val="00FF4AC4"/>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BD2037"/>
    <w:rPr>
      <w:color w:val="0D0D0D"/>
      <w:sz w:val="24"/>
      <w:szCs w:val="24"/>
    </w:rPr>
  </w:style>
  <w:style w:type="character" w:customStyle="1" w:styleId="ui-provider">
    <w:name w:val="ui-provider"/>
    <w:basedOn w:val="DefaultParagraphFont"/>
    <w:rsid w:val="00BD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9327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46B1-3994-4624-956B-02808EE86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Mr Bould</cp:lastModifiedBy>
  <cp:revision>3</cp:revision>
  <cp:lastPrinted>2014-09-17T21:26:00Z</cp:lastPrinted>
  <dcterms:created xsi:type="dcterms:W3CDTF">2024-11-21T13:41:00Z</dcterms:created>
  <dcterms:modified xsi:type="dcterms:W3CDTF">2024-11-21T13:49:00Z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